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DB91D" w14:textId="35682CE0" w:rsidR="00893F19" w:rsidRPr="00C100E6" w:rsidRDefault="00893F19" w:rsidP="00893F19">
      <w:pPr>
        <w:jc w:val="center"/>
        <w:rPr>
          <w:rFonts w:ascii="Arial" w:hAnsi="Arial" w:cs="Arial"/>
          <w:b/>
          <w:sz w:val="30"/>
          <w:szCs w:val="30"/>
          <w:lang w:val="en-US"/>
        </w:rPr>
      </w:pPr>
      <w:r w:rsidRPr="00C100E6">
        <w:rPr>
          <w:rFonts w:ascii="Arial" w:hAnsi="Arial" w:cs="Arial"/>
          <w:b/>
          <w:sz w:val="30"/>
          <w:szCs w:val="30"/>
          <w:lang w:val="en-US"/>
        </w:rPr>
        <w:t>www.modernfatherhood.org</w:t>
      </w:r>
      <w:r w:rsidRPr="00C100E6">
        <w:rPr>
          <w:rFonts w:ascii="Arial" w:hAnsi="Arial" w:cs="Arial"/>
          <w:b/>
          <w:sz w:val="30"/>
          <w:szCs w:val="30"/>
          <w:lang w:val="en-US"/>
        </w:rPr>
        <w:br/>
      </w:r>
    </w:p>
    <w:p w14:paraId="78CDEE79" w14:textId="2FD34C67" w:rsidR="00755EF2" w:rsidRPr="00C100E6" w:rsidRDefault="00755EF2" w:rsidP="00306342">
      <w:pPr>
        <w:rPr>
          <w:rFonts w:ascii="Arial" w:hAnsi="Arial" w:cs="Arial"/>
          <w:b/>
          <w:color w:val="00597F"/>
          <w:sz w:val="72"/>
          <w:szCs w:val="72"/>
          <w:lang w:val="en-US"/>
        </w:rPr>
      </w:pPr>
      <w:bookmarkStart w:id="0" w:name="_GoBack"/>
      <w:r w:rsidRPr="00C100E6">
        <w:rPr>
          <w:rFonts w:ascii="Arial" w:hAnsi="Arial" w:cs="Arial"/>
          <w:b/>
          <w:color w:val="00597F"/>
          <w:sz w:val="72"/>
          <w:szCs w:val="72"/>
          <w:lang w:val="en-US"/>
        </w:rPr>
        <w:t>Parental Working in Europe: Methodology</w:t>
      </w:r>
    </w:p>
    <w:bookmarkEnd w:id="0"/>
    <w:p w14:paraId="398E4CFF" w14:textId="77777777" w:rsidR="00306342" w:rsidRPr="00C100E6" w:rsidRDefault="00306342" w:rsidP="00306342">
      <w:pPr>
        <w:rPr>
          <w:rFonts w:ascii="Arial" w:hAnsi="Arial" w:cs="Arial"/>
          <w:b/>
          <w:i/>
        </w:rPr>
      </w:pPr>
    </w:p>
    <w:p w14:paraId="7F76C27E" w14:textId="35A0C204" w:rsidR="00306342" w:rsidRPr="00C100E6" w:rsidRDefault="00306342" w:rsidP="00306342">
      <w:pPr>
        <w:rPr>
          <w:rFonts w:ascii="Arial" w:hAnsi="Arial" w:cs="Arial"/>
          <w:b/>
          <w:i/>
        </w:rPr>
      </w:pPr>
      <w:r w:rsidRPr="00C100E6">
        <w:rPr>
          <w:rFonts w:ascii="Arial" w:hAnsi="Arial" w:cs="Arial"/>
          <w:b/>
          <w:i/>
        </w:rPr>
        <w:t>Authors: Matthew Aldrich, Sara Connolly, Margaret O’Brien, Sve</w:t>
      </w:r>
      <w:r w:rsidR="000820F2">
        <w:rPr>
          <w:rFonts w:ascii="Arial" w:hAnsi="Arial" w:cs="Arial"/>
          <w:b/>
          <w:i/>
        </w:rPr>
        <w:t>tlana Speight and Robert Wilshart</w:t>
      </w:r>
    </w:p>
    <w:p w14:paraId="32B91F91" w14:textId="77777777" w:rsidR="00306342" w:rsidRPr="00C100E6" w:rsidRDefault="00306342" w:rsidP="00306342">
      <w:pPr>
        <w:rPr>
          <w:rFonts w:ascii="Arial" w:hAnsi="Arial" w:cs="Arial"/>
          <w:b/>
          <w:i/>
        </w:rPr>
      </w:pPr>
    </w:p>
    <w:p w14:paraId="60E1A809" w14:textId="3C356FFE" w:rsidR="00E00A86" w:rsidRPr="00C100E6" w:rsidRDefault="00E00A86" w:rsidP="00E00A86">
      <w:pPr>
        <w:jc w:val="both"/>
        <w:rPr>
          <w:rFonts w:ascii="Arial" w:hAnsi="Arial" w:cs="Arial"/>
        </w:rPr>
      </w:pPr>
      <w:r w:rsidRPr="00C100E6">
        <w:rPr>
          <w:rFonts w:ascii="Arial" w:hAnsi="Arial" w:cs="Arial"/>
        </w:rPr>
        <w:t xml:space="preserve">These </w:t>
      </w:r>
      <w:r w:rsidR="00F233C8" w:rsidRPr="00C100E6">
        <w:rPr>
          <w:rFonts w:ascii="Arial" w:hAnsi="Arial" w:cs="Arial"/>
          <w:b/>
          <w:i/>
        </w:rPr>
        <w:t>Research N</w:t>
      </w:r>
      <w:r w:rsidR="00755EF2" w:rsidRPr="00C100E6">
        <w:rPr>
          <w:rFonts w:ascii="Arial" w:hAnsi="Arial" w:cs="Arial"/>
          <w:b/>
          <w:i/>
        </w:rPr>
        <w:t>otes</w:t>
      </w:r>
      <w:r w:rsidRPr="00C100E6">
        <w:rPr>
          <w:rFonts w:ascii="Arial" w:hAnsi="Arial" w:cs="Arial"/>
        </w:rPr>
        <w:t xml:space="preserve"> provide an overview of </w:t>
      </w:r>
      <w:r w:rsidR="00D25EF6" w:rsidRPr="00C100E6">
        <w:rPr>
          <w:rFonts w:ascii="Arial" w:hAnsi="Arial" w:cs="Arial"/>
        </w:rPr>
        <w:t xml:space="preserve">changes in </w:t>
      </w:r>
      <w:r w:rsidR="00755EF2" w:rsidRPr="00C100E6">
        <w:rPr>
          <w:rFonts w:ascii="Arial" w:hAnsi="Arial" w:cs="Arial"/>
        </w:rPr>
        <w:t>parental working</w:t>
      </w:r>
      <w:r w:rsidRPr="00C100E6">
        <w:rPr>
          <w:rFonts w:ascii="Arial" w:hAnsi="Arial" w:cs="Arial"/>
        </w:rPr>
        <w:t xml:space="preserve"> in Europe </w:t>
      </w:r>
      <w:r w:rsidR="00755EF2" w:rsidRPr="00C100E6">
        <w:rPr>
          <w:rFonts w:ascii="Arial" w:hAnsi="Arial" w:cs="Arial"/>
        </w:rPr>
        <w:t>over</w:t>
      </w:r>
      <w:r w:rsidRPr="00C100E6">
        <w:rPr>
          <w:rFonts w:ascii="Arial" w:hAnsi="Arial" w:cs="Arial"/>
        </w:rPr>
        <w:t xml:space="preserve"> the period 2001 to 2013. There are four topics that are explored in detail: Working Patterns, Working Hours, </w:t>
      </w:r>
      <w:r w:rsidR="00A20FDC" w:rsidRPr="00C100E6">
        <w:rPr>
          <w:rFonts w:ascii="Arial" w:hAnsi="Arial" w:cs="Arial"/>
        </w:rPr>
        <w:t>Non-standard</w:t>
      </w:r>
      <w:r w:rsidR="009674CE" w:rsidRPr="00C100E6">
        <w:rPr>
          <w:rFonts w:ascii="Arial" w:hAnsi="Arial" w:cs="Arial"/>
        </w:rPr>
        <w:t xml:space="preserve"> Hours and </w:t>
      </w:r>
      <w:r w:rsidRPr="00C100E6">
        <w:rPr>
          <w:rFonts w:ascii="Arial" w:hAnsi="Arial" w:cs="Arial"/>
        </w:rPr>
        <w:t xml:space="preserve">Underemployment. Analysis was undertaken for all the topics in each of the 17 countries for which data is available. Where </w:t>
      </w:r>
      <w:r w:rsidR="00F233C8" w:rsidRPr="00C100E6">
        <w:rPr>
          <w:rFonts w:ascii="Arial" w:hAnsi="Arial" w:cs="Arial"/>
        </w:rPr>
        <w:t>a country is</w:t>
      </w:r>
      <w:r w:rsidRPr="00C100E6">
        <w:rPr>
          <w:rFonts w:ascii="Arial" w:hAnsi="Arial" w:cs="Arial"/>
        </w:rPr>
        <w:t xml:space="preserve"> not mentioned within a </w:t>
      </w:r>
      <w:r w:rsidR="009674CE" w:rsidRPr="00C100E6">
        <w:rPr>
          <w:rFonts w:ascii="Arial" w:hAnsi="Arial" w:cs="Arial"/>
        </w:rPr>
        <w:t>research note</w:t>
      </w:r>
      <w:r w:rsidRPr="00C100E6">
        <w:rPr>
          <w:rFonts w:ascii="Arial" w:hAnsi="Arial" w:cs="Arial"/>
        </w:rPr>
        <w:t xml:space="preserve">, </w:t>
      </w:r>
      <w:r w:rsidRPr="00C100E6">
        <w:rPr>
          <w:rFonts w:ascii="Arial" w:hAnsi="Arial" w:cs="Arial"/>
          <w:i/>
        </w:rPr>
        <w:t xml:space="preserve">no </w:t>
      </w:r>
      <w:r w:rsidR="00065EE1" w:rsidRPr="00C100E6">
        <w:rPr>
          <w:rFonts w:ascii="Arial" w:hAnsi="Arial" w:cs="Arial"/>
          <w:i/>
        </w:rPr>
        <w:t xml:space="preserve">statistically </w:t>
      </w:r>
      <w:r w:rsidRPr="00C100E6">
        <w:rPr>
          <w:rFonts w:ascii="Arial" w:hAnsi="Arial" w:cs="Arial"/>
          <w:i/>
        </w:rPr>
        <w:t>significant</w:t>
      </w:r>
      <w:r w:rsidRPr="00C100E6">
        <w:rPr>
          <w:rFonts w:ascii="Arial" w:hAnsi="Arial" w:cs="Arial"/>
        </w:rPr>
        <w:t xml:space="preserve"> changes have taken place.</w:t>
      </w:r>
    </w:p>
    <w:p w14:paraId="69D0F736" w14:textId="77777777" w:rsidR="00992AB8" w:rsidRPr="00C100E6" w:rsidRDefault="00992AB8" w:rsidP="00992AB8">
      <w:pPr>
        <w:jc w:val="both"/>
        <w:rPr>
          <w:rFonts w:ascii="Arial" w:hAnsi="Arial" w:cs="Arial"/>
          <w:b/>
          <w:color w:val="0070C0"/>
        </w:rPr>
      </w:pPr>
    </w:p>
    <w:p w14:paraId="4680A344" w14:textId="77777777" w:rsidR="00992AB8" w:rsidRPr="00C100E6" w:rsidRDefault="00992AB8" w:rsidP="00992AB8">
      <w:pPr>
        <w:jc w:val="both"/>
        <w:rPr>
          <w:rFonts w:ascii="Arial" w:hAnsi="Arial" w:cs="Arial"/>
          <w:color w:val="00597F"/>
          <w:sz w:val="30"/>
          <w:szCs w:val="30"/>
        </w:rPr>
      </w:pPr>
      <w:r w:rsidRPr="00C100E6">
        <w:rPr>
          <w:rFonts w:ascii="Arial" w:hAnsi="Arial" w:cs="Arial"/>
          <w:b/>
          <w:color w:val="00597F"/>
          <w:sz w:val="30"/>
          <w:szCs w:val="30"/>
        </w:rPr>
        <w:t>Data</w:t>
      </w:r>
      <w:r w:rsidRPr="00C100E6">
        <w:rPr>
          <w:rFonts w:ascii="Arial" w:hAnsi="Arial" w:cs="Arial"/>
          <w:color w:val="00597F"/>
          <w:sz w:val="30"/>
          <w:szCs w:val="30"/>
        </w:rPr>
        <w:t xml:space="preserve"> </w:t>
      </w:r>
    </w:p>
    <w:p w14:paraId="500432B5" w14:textId="77777777" w:rsidR="00992AB8" w:rsidRPr="00C100E6" w:rsidRDefault="00992AB8" w:rsidP="00992AB8">
      <w:pPr>
        <w:jc w:val="both"/>
        <w:rPr>
          <w:rFonts w:ascii="Arial" w:hAnsi="Arial" w:cs="Arial"/>
        </w:rPr>
      </w:pPr>
      <w:r w:rsidRPr="00C100E6">
        <w:rPr>
          <w:rFonts w:ascii="Arial" w:hAnsi="Arial" w:cs="Arial"/>
        </w:rPr>
        <w:t>The data used in the analysis comes from the European Labour Force Survey (EU LFS). The European Labour Force Survey is conducted in the 28 European member states, 2 candidate countries and 3 countries of the European Free Trade Association (EFTA).</w:t>
      </w:r>
    </w:p>
    <w:p w14:paraId="4C1A1CC6" w14:textId="6C343643" w:rsidR="00992AB8" w:rsidRPr="00C100E6" w:rsidRDefault="00992AB8" w:rsidP="00992AB8">
      <w:pPr>
        <w:jc w:val="both"/>
        <w:rPr>
          <w:rFonts w:ascii="Arial" w:hAnsi="Arial" w:cs="Arial"/>
        </w:rPr>
      </w:pPr>
      <w:r w:rsidRPr="00C100E6">
        <w:rPr>
          <w:rFonts w:ascii="Arial" w:hAnsi="Arial" w:cs="Arial"/>
        </w:rPr>
        <w:t>The data was selected to include only couple parent households – aged 16-64 with at least one co-resident dependent child. These children can be biological, step children or adopted. Parent households where children have left the household are excluded.</w:t>
      </w:r>
      <w:r w:rsidR="00197545" w:rsidRPr="00C100E6">
        <w:rPr>
          <w:rFonts w:ascii="Arial" w:hAnsi="Arial" w:cs="Arial"/>
        </w:rPr>
        <w:t xml:space="preserve"> Biennial data is presented for the period 2001 to 2013.</w:t>
      </w:r>
    </w:p>
    <w:p w14:paraId="20CEBBA9" w14:textId="77777777" w:rsidR="00992AB8" w:rsidRPr="00C100E6" w:rsidRDefault="00992AB8" w:rsidP="00992AB8">
      <w:pPr>
        <w:jc w:val="both"/>
        <w:rPr>
          <w:rFonts w:ascii="Arial" w:hAnsi="Arial" w:cs="Arial"/>
        </w:rPr>
      </w:pPr>
      <w:proofErr w:type="gramStart"/>
      <w:r w:rsidRPr="00C100E6">
        <w:rPr>
          <w:rFonts w:ascii="Arial" w:hAnsi="Arial" w:cs="Arial"/>
        </w:rPr>
        <w:t>Data restrictions in some countries prevents</w:t>
      </w:r>
      <w:proofErr w:type="gramEnd"/>
      <w:r w:rsidRPr="00C100E6">
        <w:rPr>
          <w:rFonts w:ascii="Arial" w:hAnsi="Arial" w:cs="Arial"/>
        </w:rPr>
        <w:t xml:space="preserve"> an analysis being undertaken. Denmark provides basic data, but no detailed data as this information is collected by interviews and cannot be collated to the EU LFS data. Neither basic nor detailed household codification data for Sweden, Iceland, Norway and Switzerland is supplied to the EU LFS. Finland uses special household sub-samples, and therefore this data cannot be used.</w:t>
      </w:r>
    </w:p>
    <w:p w14:paraId="3602132B" w14:textId="77D7BC9B" w:rsidR="00992AB8" w:rsidRPr="00C100E6" w:rsidRDefault="00992AB8" w:rsidP="00992AB8">
      <w:pPr>
        <w:jc w:val="both"/>
        <w:rPr>
          <w:rFonts w:ascii="Arial" w:hAnsi="Arial" w:cs="Arial"/>
        </w:rPr>
      </w:pPr>
      <w:r w:rsidRPr="00C100E6">
        <w:rPr>
          <w:rFonts w:ascii="Arial" w:hAnsi="Arial" w:cs="Arial"/>
        </w:rPr>
        <w:t xml:space="preserve">In addition to these six countries, which cannot be analysed due to data restrictions, some countries do not provide large enough samples to give a reasonable analysis of changes in working household patterns. Countries were excluded if they did not meet a threshold of 50 or more households in more than three separate household typologies (details of which can be found below) in the base year for that country.  These countries are: Estonia, Cyprus, Latvia, Lithuania, Luxembourg, Malta, and Slovenia. This leaves 17 countries to analyse. In addition, within individual topics analysis is not undertaken if a minimum </w:t>
      </w:r>
      <w:r w:rsidR="00197545" w:rsidRPr="00C100E6">
        <w:rPr>
          <w:rFonts w:ascii="Arial" w:hAnsi="Arial" w:cs="Arial"/>
        </w:rPr>
        <w:t>sample size</w:t>
      </w:r>
      <w:r w:rsidRPr="00C100E6">
        <w:rPr>
          <w:rFonts w:ascii="Arial" w:hAnsi="Arial" w:cs="Arial"/>
        </w:rPr>
        <w:t xml:space="preserve"> of 50 is reached.</w:t>
      </w:r>
    </w:p>
    <w:p w14:paraId="08A62B1F" w14:textId="77777777" w:rsidR="00992AB8" w:rsidRPr="00C100E6" w:rsidRDefault="00992AB8" w:rsidP="00992AB8">
      <w:pPr>
        <w:jc w:val="both"/>
        <w:rPr>
          <w:rFonts w:ascii="Arial" w:hAnsi="Arial" w:cs="Arial"/>
        </w:rPr>
      </w:pPr>
    </w:p>
    <w:p w14:paraId="5D756633" w14:textId="77777777" w:rsidR="00C100E6" w:rsidRDefault="00C100E6" w:rsidP="00D25EF6">
      <w:pPr>
        <w:jc w:val="both"/>
        <w:rPr>
          <w:rFonts w:ascii="Arial" w:hAnsi="Arial" w:cs="Arial"/>
          <w:b/>
          <w:color w:val="00597F"/>
          <w:sz w:val="30"/>
          <w:szCs w:val="30"/>
        </w:rPr>
      </w:pPr>
    </w:p>
    <w:p w14:paraId="4BF85CD3" w14:textId="77777777" w:rsidR="00D25EF6" w:rsidRPr="00C100E6" w:rsidRDefault="00D25EF6" w:rsidP="00D25EF6">
      <w:pPr>
        <w:jc w:val="both"/>
        <w:rPr>
          <w:rFonts w:ascii="Arial" w:hAnsi="Arial" w:cs="Arial"/>
          <w:b/>
          <w:color w:val="00597F"/>
          <w:sz w:val="30"/>
          <w:szCs w:val="30"/>
        </w:rPr>
      </w:pPr>
      <w:r w:rsidRPr="00C100E6">
        <w:rPr>
          <w:rFonts w:ascii="Arial" w:hAnsi="Arial" w:cs="Arial"/>
          <w:b/>
          <w:color w:val="00597F"/>
          <w:sz w:val="30"/>
          <w:szCs w:val="30"/>
        </w:rPr>
        <w:lastRenderedPageBreak/>
        <w:t>Household Classifications</w:t>
      </w:r>
    </w:p>
    <w:p w14:paraId="236F1C24" w14:textId="7A72814E" w:rsidR="00264677" w:rsidRPr="00C100E6" w:rsidRDefault="00D25EF6" w:rsidP="009B3EBA">
      <w:pPr>
        <w:jc w:val="both"/>
        <w:rPr>
          <w:rFonts w:ascii="Arial" w:hAnsi="Arial" w:cs="Arial"/>
        </w:rPr>
      </w:pPr>
      <w:r w:rsidRPr="00C100E6">
        <w:rPr>
          <w:rFonts w:ascii="Arial" w:hAnsi="Arial" w:cs="Arial"/>
        </w:rPr>
        <w:t>We categorise household</w:t>
      </w:r>
      <w:r w:rsidR="001D6D32" w:rsidRPr="00C100E6">
        <w:rPr>
          <w:rFonts w:ascii="Arial" w:hAnsi="Arial" w:cs="Arial"/>
        </w:rPr>
        <w:t>s</w:t>
      </w:r>
      <w:r w:rsidRPr="00C100E6">
        <w:rPr>
          <w:rFonts w:ascii="Arial" w:hAnsi="Arial" w:cs="Arial"/>
        </w:rPr>
        <w:t xml:space="preserve"> into ten different types of working arrangement. There are four ‘standard’ househ</w:t>
      </w:r>
      <w:r w:rsidR="00197545" w:rsidRPr="00C100E6">
        <w:rPr>
          <w:rFonts w:ascii="Arial" w:hAnsi="Arial" w:cs="Arial"/>
        </w:rPr>
        <w:t>old types, these are: dual full-</w:t>
      </w:r>
      <w:r w:rsidRPr="00C100E6">
        <w:rPr>
          <w:rFonts w:ascii="Arial" w:hAnsi="Arial" w:cs="Arial"/>
        </w:rPr>
        <w:t xml:space="preserve">time earner households, </w:t>
      </w:r>
      <w:r w:rsidR="0032650B" w:rsidRPr="00C100E6">
        <w:rPr>
          <w:rFonts w:ascii="Arial" w:hAnsi="Arial" w:cs="Arial"/>
        </w:rPr>
        <w:t>standard</w:t>
      </w:r>
      <w:r w:rsidRPr="00C100E6">
        <w:rPr>
          <w:rFonts w:ascii="Arial" w:hAnsi="Arial" w:cs="Arial"/>
        </w:rPr>
        <w:t xml:space="preserve"> 1.5 earner households (where the </w:t>
      </w:r>
      <w:r w:rsidR="0032650B" w:rsidRPr="00C100E6">
        <w:rPr>
          <w:rFonts w:ascii="Arial" w:hAnsi="Arial" w:cs="Arial"/>
        </w:rPr>
        <w:t>father</w:t>
      </w:r>
      <w:r w:rsidR="00197545" w:rsidRPr="00C100E6">
        <w:rPr>
          <w:rFonts w:ascii="Arial" w:hAnsi="Arial" w:cs="Arial"/>
        </w:rPr>
        <w:t xml:space="preserve"> works full-</w:t>
      </w:r>
      <w:r w:rsidRPr="00C100E6">
        <w:rPr>
          <w:rFonts w:ascii="Arial" w:hAnsi="Arial" w:cs="Arial"/>
        </w:rPr>
        <w:t xml:space="preserve">time and the </w:t>
      </w:r>
      <w:r w:rsidR="0032650B" w:rsidRPr="00C100E6">
        <w:rPr>
          <w:rFonts w:ascii="Arial" w:hAnsi="Arial" w:cs="Arial"/>
        </w:rPr>
        <w:t>mother</w:t>
      </w:r>
      <w:r w:rsidR="00197545" w:rsidRPr="00C100E6">
        <w:rPr>
          <w:rFonts w:ascii="Arial" w:hAnsi="Arial" w:cs="Arial"/>
        </w:rPr>
        <w:t xml:space="preserve"> works part-</w:t>
      </w:r>
      <w:r w:rsidRPr="00C100E6">
        <w:rPr>
          <w:rFonts w:ascii="Arial" w:hAnsi="Arial" w:cs="Arial"/>
        </w:rPr>
        <w:t>time), male sole breadwinner households and non-earner (or workless) households. There are also six ‘non-standard’ household types: non-</w:t>
      </w:r>
      <w:r w:rsidR="0032650B" w:rsidRPr="00C100E6">
        <w:rPr>
          <w:rFonts w:ascii="Arial" w:hAnsi="Arial" w:cs="Arial"/>
        </w:rPr>
        <w:t>standard</w:t>
      </w:r>
      <w:r w:rsidRPr="00C100E6">
        <w:rPr>
          <w:rFonts w:ascii="Arial" w:hAnsi="Arial" w:cs="Arial"/>
        </w:rPr>
        <w:t xml:space="preserve"> 1.5 earner households (where the </w:t>
      </w:r>
      <w:r w:rsidR="0032650B" w:rsidRPr="00C100E6">
        <w:rPr>
          <w:rFonts w:ascii="Arial" w:hAnsi="Arial" w:cs="Arial"/>
        </w:rPr>
        <w:t>mother</w:t>
      </w:r>
      <w:r w:rsidRPr="00C100E6">
        <w:rPr>
          <w:rFonts w:ascii="Arial" w:hAnsi="Arial" w:cs="Arial"/>
        </w:rPr>
        <w:t xml:space="preserve"> works</w:t>
      </w:r>
      <w:r w:rsidR="00197545" w:rsidRPr="00C100E6">
        <w:rPr>
          <w:rFonts w:ascii="Arial" w:hAnsi="Arial" w:cs="Arial"/>
        </w:rPr>
        <w:t xml:space="preserve"> full-</w:t>
      </w:r>
      <w:r w:rsidRPr="00C100E6">
        <w:rPr>
          <w:rFonts w:ascii="Arial" w:hAnsi="Arial" w:cs="Arial"/>
        </w:rPr>
        <w:t xml:space="preserve">time and the </w:t>
      </w:r>
      <w:r w:rsidR="0032650B" w:rsidRPr="00C100E6">
        <w:rPr>
          <w:rFonts w:ascii="Arial" w:hAnsi="Arial" w:cs="Arial"/>
        </w:rPr>
        <w:t>father</w:t>
      </w:r>
      <w:r w:rsidR="00197545" w:rsidRPr="00C100E6">
        <w:rPr>
          <w:rFonts w:ascii="Arial" w:hAnsi="Arial" w:cs="Arial"/>
        </w:rPr>
        <w:t xml:space="preserve"> part-</w:t>
      </w:r>
      <w:r w:rsidRPr="00C100E6">
        <w:rPr>
          <w:rFonts w:ascii="Arial" w:hAnsi="Arial" w:cs="Arial"/>
        </w:rPr>
        <w:t>time), female sole br</w:t>
      </w:r>
      <w:r w:rsidR="00197545" w:rsidRPr="00C100E6">
        <w:rPr>
          <w:rFonts w:ascii="Arial" w:hAnsi="Arial" w:cs="Arial"/>
        </w:rPr>
        <w:t>eadwinner households, dual part-</w:t>
      </w:r>
      <w:r w:rsidRPr="00C100E6">
        <w:rPr>
          <w:rFonts w:ascii="Arial" w:hAnsi="Arial" w:cs="Arial"/>
        </w:rPr>
        <w:t>time ea</w:t>
      </w:r>
      <w:r w:rsidR="00197545" w:rsidRPr="00C100E6">
        <w:rPr>
          <w:rFonts w:ascii="Arial" w:hAnsi="Arial" w:cs="Arial"/>
        </w:rPr>
        <w:t>rner households, male sole part-</w:t>
      </w:r>
      <w:r w:rsidRPr="00C100E6">
        <w:rPr>
          <w:rFonts w:ascii="Arial" w:hAnsi="Arial" w:cs="Arial"/>
        </w:rPr>
        <w:t>time earn</w:t>
      </w:r>
      <w:r w:rsidR="00197545" w:rsidRPr="00C100E6">
        <w:rPr>
          <w:rFonts w:ascii="Arial" w:hAnsi="Arial" w:cs="Arial"/>
        </w:rPr>
        <w:t>er households, female sole part-</w:t>
      </w:r>
      <w:r w:rsidRPr="00C100E6">
        <w:rPr>
          <w:rFonts w:ascii="Arial" w:hAnsi="Arial" w:cs="Arial"/>
        </w:rPr>
        <w:t xml:space="preserve">time earner households and households where at least one partner’s working hours vary too much for them to be assigned any other household classification (these are named ‘other’ households). This is summarised in </w:t>
      </w:r>
      <w:r w:rsidR="00264677" w:rsidRPr="00C100E6">
        <w:rPr>
          <w:rFonts w:ascii="Arial" w:hAnsi="Arial" w:cs="Arial"/>
        </w:rPr>
        <w:t>T</w:t>
      </w:r>
      <w:r w:rsidRPr="00C100E6">
        <w:rPr>
          <w:rFonts w:ascii="Arial" w:hAnsi="Arial" w:cs="Arial"/>
        </w:rPr>
        <w:t xml:space="preserve">able </w:t>
      </w:r>
      <w:r w:rsidR="00264677" w:rsidRPr="00C100E6">
        <w:rPr>
          <w:rFonts w:ascii="Arial" w:hAnsi="Arial" w:cs="Arial"/>
        </w:rPr>
        <w:t xml:space="preserve">1 </w:t>
      </w:r>
      <w:r w:rsidRPr="00C100E6">
        <w:rPr>
          <w:rFonts w:ascii="Arial" w:hAnsi="Arial" w:cs="Arial"/>
        </w:rPr>
        <w:t>below.</w:t>
      </w:r>
    </w:p>
    <w:p w14:paraId="635531E5" w14:textId="77777777" w:rsidR="00264677" w:rsidRPr="00C100E6" w:rsidRDefault="00264677" w:rsidP="009B3EBA">
      <w:pPr>
        <w:jc w:val="both"/>
        <w:rPr>
          <w:rFonts w:ascii="Arial" w:hAnsi="Arial" w:cs="Arial"/>
        </w:rPr>
      </w:pPr>
    </w:p>
    <w:p w14:paraId="56681241" w14:textId="77777777" w:rsidR="00264677" w:rsidRPr="00C100E6" w:rsidRDefault="00264677" w:rsidP="009B3EBA">
      <w:pPr>
        <w:jc w:val="both"/>
        <w:rPr>
          <w:rFonts w:ascii="Arial" w:hAnsi="Arial" w:cs="Arial"/>
        </w:rPr>
      </w:pPr>
    </w:p>
    <w:p w14:paraId="1E7E88E0" w14:textId="45D02B21" w:rsidR="00992AB8" w:rsidRPr="00C100E6" w:rsidRDefault="00264677" w:rsidP="009B3EBA">
      <w:pPr>
        <w:jc w:val="both"/>
        <w:rPr>
          <w:rFonts w:ascii="Arial" w:hAnsi="Arial" w:cs="Arial"/>
          <w:b/>
          <w:i/>
        </w:rPr>
      </w:pPr>
      <w:r w:rsidRPr="00C100E6">
        <w:rPr>
          <w:rFonts w:ascii="Arial" w:hAnsi="Arial" w:cs="Arial"/>
          <w:b/>
          <w:i/>
        </w:rPr>
        <w:t>Table 1 – Household Working Patterns</w:t>
      </w:r>
    </w:p>
    <w:tbl>
      <w:tblPr>
        <w:tblStyle w:val="PlainTable11"/>
        <w:tblW w:w="5110" w:type="pct"/>
        <w:tblLayout w:type="fixed"/>
        <w:tblLook w:val="04A0" w:firstRow="1" w:lastRow="0" w:firstColumn="1" w:lastColumn="0" w:noHBand="0" w:noVBand="1"/>
      </w:tblPr>
      <w:tblGrid>
        <w:gridCol w:w="2462"/>
        <w:gridCol w:w="2107"/>
        <w:gridCol w:w="2403"/>
        <w:gridCol w:w="2473"/>
      </w:tblGrid>
      <w:tr w:rsidR="00D25EF6" w:rsidRPr="00C100E6" w14:paraId="271D537D" w14:textId="77777777" w:rsidTr="003042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pct"/>
            <w:noWrap/>
            <w:hideMark/>
          </w:tcPr>
          <w:p w14:paraId="3D08C4A8" w14:textId="34E3B409" w:rsidR="00D25EF6" w:rsidRPr="00C100E6" w:rsidRDefault="00D25EF6" w:rsidP="00F0437C">
            <w:pPr>
              <w:rPr>
                <w:rFonts w:ascii="Arial" w:eastAsia="Times New Roman" w:hAnsi="Arial" w:cs="Arial"/>
                <w:b w:val="0"/>
                <w:bCs w:val="0"/>
                <w:color w:val="000000"/>
              </w:rPr>
            </w:pPr>
            <w:r w:rsidRPr="00C100E6">
              <w:rPr>
                <w:rFonts w:ascii="Arial" w:eastAsia="Times New Roman" w:hAnsi="Arial" w:cs="Arial"/>
                <w:color w:val="000000"/>
              </w:rPr>
              <w:t>Type</w:t>
            </w:r>
          </w:p>
        </w:tc>
        <w:tc>
          <w:tcPr>
            <w:tcW w:w="1115" w:type="pct"/>
            <w:noWrap/>
            <w:hideMark/>
          </w:tcPr>
          <w:p w14:paraId="146D3E65" w14:textId="77777777" w:rsidR="00D25EF6" w:rsidRPr="00C100E6" w:rsidRDefault="00D25EF6" w:rsidP="00F0437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rPr>
            </w:pPr>
            <w:r w:rsidRPr="00C100E6">
              <w:rPr>
                <w:rFonts w:ascii="Arial" w:eastAsia="Times New Roman" w:hAnsi="Arial" w:cs="Arial"/>
                <w:color w:val="000000"/>
              </w:rPr>
              <w:t>Description</w:t>
            </w:r>
          </w:p>
        </w:tc>
        <w:tc>
          <w:tcPr>
            <w:tcW w:w="1272" w:type="pct"/>
            <w:noWrap/>
            <w:hideMark/>
          </w:tcPr>
          <w:p w14:paraId="3DFF689B" w14:textId="52A0FA3A" w:rsidR="00D25EF6" w:rsidRPr="00C100E6" w:rsidRDefault="00D25EF6" w:rsidP="0032650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rPr>
            </w:pPr>
            <w:r w:rsidRPr="00C100E6">
              <w:rPr>
                <w:rFonts w:ascii="Arial" w:eastAsia="Times New Roman" w:hAnsi="Arial" w:cs="Arial"/>
                <w:color w:val="000000"/>
              </w:rPr>
              <w:t xml:space="preserve">Working hours of </w:t>
            </w:r>
            <w:r w:rsidR="0032650B" w:rsidRPr="00C100E6">
              <w:rPr>
                <w:rFonts w:ascii="Arial" w:eastAsia="Times New Roman" w:hAnsi="Arial" w:cs="Arial"/>
                <w:color w:val="000000"/>
              </w:rPr>
              <w:t>father</w:t>
            </w:r>
          </w:p>
        </w:tc>
        <w:tc>
          <w:tcPr>
            <w:tcW w:w="1309" w:type="pct"/>
            <w:noWrap/>
            <w:hideMark/>
          </w:tcPr>
          <w:p w14:paraId="0A5CD9D4" w14:textId="6D338971" w:rsidR="00D25EF6" w:rsidRPr="00C100E6" w:rsidRDefault="00D25EF6" w:rsidP="0032650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rPr>
            </w:pPr>
            <w:r w:rsidRPr="00C100E6">
              <w:rPr>
                <w:rFonts w:ascii="Arial" w:eastAsia="Times New Roman" w:hAnsi="Arial" w:cs="Arial"/>
                <w:color w:val="000000"/>
              </w:rPr>
              <w:t xml:space="preserve">Working hours of </w:t>
            </w:r>
            <w:r w:rsidR="0032650B" w:rsidRPr="00C100E6">
              <w:rPr>
                <w:rFonts w:ascii="Arial" w:eastAsia="Times New Roman" w:hAnsi="Arial" w:cs="Arial"/>
                <w:color w:val="000000"/>
              </w:rPr>
              <w:t>mother</w:t>
            </w:r>
          </w:p>
        </w:tc>
      </w:tr>
      <w:tr w:rsidR="00D25EF6" w:rsidRPr="00C100E6" w14:paraId="6D9805E8" w14:textId="77777777" w:rsidTr="0030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pct"/>
            <w:noWrap/>
            <w:hideMark/>
          </w:tcPr>
          <w:p w14:paraId="6B0F820E" w14:textId="275F153F" w:rsidR="00D25EF6" w:rsidRPr="00C100E6" w:rsidRDefault="001D6D32" w:rsidP="00F0437C">
            <w:pPr>
              <w:rPr>
                <w:rFonts w:ascii="Arial" w:eastAsia="Times New Roman" w:hAnsi="Arial" w:cs="Arial"/>
                <w:b w:val="0"/>
                <w:bCs w:val="0"/>
                <w:iCs/>
                <w:color w:val="000000"/>
              </w:rPr>
            </w:pPr>
            <w:r w:rsidRPr="00C100E6">
              <w:rPr>
                <w:rFonts w:ascii="Arial" w:eastAsia="Times New Roman" w:hAnsi="Arial" w:cs="Arial"/>
                <w:iCs/>
                <w:color w:val="000000"/>
              </w:rPr>
              <w:t>D</w:t>
            </w:r>
            <w:r w:rsidR="00D25EF6" w:rsidRPr="00C100E6">
              <w:rPr>
                <w:rFonts w:ascii="Arial" w:eastAsia="Times New Roman" w:hAnsi="Arial" w:cs="Arial"/>
                <w:iCs/>
                <w:color w:val="000000"/>
              </w:rPr>
              <w:t>ual earner</w:t>
            </w:r>
          </w:p>
        </w:tc>
        <w:tc>
          <w:tcPr>
            <w:tcW w:w="1115" w:type="pct"/>
            <w:noWrap/>
            <w:hideMark/>
          </w:tcPr>
          <w:p w14:paraId="4CFD3F48" w14:textId="16724F7E" w:rsidR="00D25EF6" w:rsidRPr="00C100E6" w:rsidRDefault="0032650B" w:rsidP="0032650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Father</w:t>
            </w:r>
            <w:r w:rsidR="00D25EF6" w:rsidRPr="00C100E6">
              <w:rPr>
                <w:rFonts w:ascii="Arial" w:eastAsia="Times New Roman" w:hAnsi="Arial" w:cs="Arial"/>
                <w:color w:val="000000"/>
              </w:rPr>
              <w:t xml:space="preserve"> full-time, </w:t>
            </w:r>
            <w:r w:rsidRPr="00C100E6">
              <w:rPr>
                <w:rFonts w:ascii="Arial" w:eastAsia="Times New Roman" w:hAnsi="Arial" w:cs="Arial"/>
                <w:color w:val="000000"/>
              </w:rPr>
              <w:t>mother</w:t>
            </w:r>
            <w:r w:rsidR="00D25EF6" w:rsidRPr="00C100E6">
              <w:rPr>
                <w:rFonts w:ascii="Arial" w:eastAsia="Times New Roman" w:hAnsi="Arial" w:cs="Arial"/>
                <w:color w:val="000000"/>
              </w:rPr>
              <w:t xml:space="preserve"> full-time</w:t>
            </w:r>
          </w:p>
        </w:tc>
        <w:tc>
          <w:tcPr>
            <w:tcW w:w="1272" w:type="pct"/>
            <w:noWrap/>
            <w:hideMark/>
          </w:tcPr>
          <w:p w14:paraId="2A719216" w14:textId="77777777" w:rsidR="00D25EF6" w:rsidRPr="00C100E6" w:rsidRDefault="00D25EF6" w:rsidP="00F0437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Greater than or equal to 30 hours per week</w:t>
            </w:r>
          </w:p>
        </w:tc>
        <w:tc>
          <w:tcPr>
            <w:tcW w:w="1309" w:type="pct"/>
            <w:noWrap/>
            <w:hideMark/>
          </w:tcPr>
          <w:p w14:paraId="61FE232B" w14:textId="77777777" w:rsidR="00D25EF6" w:rsidRPr="00C100E6" w:rsidRDefault="00D25EF6" w:rsidP="00F0437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Greater than or equal to 30 hours per week</w:t>
            </w:r>
          </w:p>
        </w:tc>
      </w:tr>
      <w:tr w:rsidR="00D25EF6" w:rsidRPr="00C100E6" w14:paraId="51FFFD13" w14:textId="77777777" w:rsidTr="003042F8">
        <w:trPr>
          <w:trHeight w:val="300"/>
        </w:trPr>
        <w:tc>
          <w:tcPr>
            <w:cnfStyle w:val="001000000000" w:firstRow="0" w:lastRow="0" w:firstColumn="1" w:lastColumn="0" w:oddVBand="0" w:evenVBand="0" w:oddHBand="0" w:evenHBand="0" w:firstRowFirstColumn="0" w:firstRowLastColumn="0" w:lastRowFirstColumn="0" w:lastRowLastColumn="0"/>
            <w:tcW w:w="1303" w:type="pct"/>
            <w:noWrap/>
            <w:hideMark/>
          </w:tcPr>
          <w:p w14:paraId="10B0A07F" w14:textId="05BEDF24" w:rsidR="00D25EF6" w:rsidRPr="00C100E6" w:rsidRDefault="00D25EF6" w:rsidP="0032650B">
            <w:pPr>
              <w:rPr>
                <w:rFonts w:ascii="Arial" w:eastAsia="Times New Roman" w:hAnsi="Arial" w:cs="Arial"/>
                <w:b w:val="0"/>
                <w:bCs w:val="0"/>
                <w:iCs/>
                <w:color w:val="000000"/>
              </w:rPr>
            </w:pPr>
            <w:r w:rsidRPr="00C100E6">
              <w:rPr>
                <w:rFonts w:ascii="Arial" w:eastAsia="Times New Roman" w:hAnsi="Arial" w:cs="Arial"/>
                <w:iCs/>
                <w:color w:val="000000"/>
              </w:rPr>
              <w:t xml:space="preserve">The </w:t>
            </w:r>
            <w:r w:rsidR="0032650B" w:rsidRPr="00C100E6">
              <w:rPr>
                <w:rFonts w:ascii="Arial" w:eastAsia="Times New Roman" w:hAnsi="Arial" w:cs="Arial"/>
                <w:iCs/>
                <w:color w:val="000000"/>
              </w:rPr>
              <w:t>standard</w:t>
            </w:r>
            <w:r w:rsidRPr="00C100E6">
              <w:rPr>
                <w:rFonts w:ascii="Arial" w:eastAsia="Times New Roman" w:hAnsi="Arial" w:cs="Arial"/>
                <w:iCs/>
                <w:color w:val="000000"/>
              </w:rPr>
              <w:t xml:space="preserve"> 1.5 earner</w:t>
            </w:r>
          </w:p>
        </w:tc>
        <w:tc>
          <w:tcPr>
            <w:tcW w:w="1115" w:type="pct"/>
            <w:noWrap/>
            <w:hideMark/>
          </w:tcPr>
          <w:p w14:paraId="6309E14E" w14:textId="13977C9C" w:rsidR="00D25EF6" w:rsidRPr="00C100E6" w:rsidRDefault="0032650B" w:rsidP="0032650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Father</w:t>
            </w:r>
            <w:r w:rsidR="00D25EF6" w:rsidRPr="00C100E6">
              <w:rPr>
                <w:rFonts w:ascii="Arial" w:eastAsia="Times New Roman" w:hAnsi="Arial" w:cs="Arial"/>
                <w:color w:val="000000"/>
              </w:rPr>
              <w:t xml:space="preserve"> full-time, </w:t>
            </w:r>
            <w:r w:rsidRPr="00C100E6">
              <w:rPr>
                <w:rFonts w:ascii="Arial" w:eastAsia="Times New Roman" w:hAnsi="Arial" w:cs="Arial"/>
                <w:color w:val="000000"/>
              </w:rPr>
              <w:t>mother</w:t>
            </w:r>
            <w:r w:rsidR="00D25EF6" w:rsidRPr="00C100E6">
              <w:rPr>
                <w:rFonts w:ascii="Arial" w:eastAsia="Times New Roman" w:hAnsi="Arial" w:cs="Arial"/>
                <w:color w:val="000000"/>
              </w:rPr>
              <w:t xml:space="preserve"> part-time</w:t>
            </w:r>
          </w:p>
        </w:tc>
        <w:tc>
          <w:tcPr>
            <w:tcW w:w="1272" w:type="pct"/>
            <w:noWrap/>
            <w:hideMark/>
          </w:tcPr>
          <w:p w14:paraId="0D155DE2" w14:textId="77777777" w:rsidR="00D25EF6" w:rsidRPr="00C100E6" w:rsidRDefault="00D25EF6" w:rsidP="00F0437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Greater than or equal to 30 hours per week</w:t>
            </w:r>
          </w:p>
        </w:tc>
        <w:tc>
          <w:tcPr>
            <w:tcW w:w="1309" w:type="pct"/>
            <w:noWrap/>
            <w:hideMark/>
          </w:tcPr>
          <w:p w14:paraId="07BF53D6" w14:textId="77777777" w:rsidR="00D25EF6" w:rsidRPr="00C100E6" w:rsidRDefault="00D25EF6" w:rsidP="00F0437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Less than 30 hours per week</w:t>
            </w:r>
          </w:p>
        </w:tc>
      </w:tr>
      <w:tr w:rsidR="00D25EF6" w:rsidRPr="00C100E6" w14:paraId="20B672AC" w14:textId="77777777" w:rsidTr="0030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pct"/>
            <w:noWrap/>
            <w:hideMark/>
          </w:tcPr>
          <w:p w14:paraId="649CB4EA" w14:textId="068325F9" w:rsidR="00D25EF6" w:rsidRPr="00C100E6" w:rsidRDefault="00992AB8" w:rsidP="00F0437C">
            <w:pPr>
              <w:rPr>
                <w:rFonts w:ascii="Arial" w:eastAsia="Times New Roman" w:hAnsi="Arial" w:cs="Arial"/>
                <w:b w:val="0"/>
                <w:bCs w:val="0"/>
                <w:color w:val="000000"/>
              </w:rPr>
            </w:pPr>
            <w:r w:rsidRPr="00C100E6">
              <w:rPr>
                <w:rFonts w:ascii="Arial" w:eastAsia="Times New Roman" w:hAnsi="Arial" w:cs="Arial"/>
                <w:iCs/>
                <w:color w:val="000000"/>
              </w:rPr>
              <w:t>The non-standard 1.5 earner</w:t>
            </w:r>
          </w:p>
        </w:tc>
        <w:tc>
          <w:tcPr>
            <w:tcW w:w="1115" w:type="pct"/>
            <w:noWrap/>
            <w:hideMark/>
          </w:tcPr>
          <w:p w14:paraId="6AD56E3D" w14:textId="0B57226E" w:rsidR="00D25EF6" w:rsidRPr="00C100E6" w:rsidRDefault="0032650B" w:rsidP="00992A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Father</w:t>
            </w:r>
            <w:r w:rsidR="00D25EF6" w:rsidRPr="00C100E6">
              <w:rPr>
                <w:rFonts w:ascii="Arial" w:eastAsia="Times New Roman" w:hAnsi="Arial" w:cs="Arial"/>
                <w:color w:val="000000"/>
              </w:rPr>
              <w:t xml:space="preserve"> </w:t>
            </w:r>
            <w:r w:rsidR="00992AB8" w:rsidRPr="00C100E6">
              <w:rPr>
                <w:rFonts w:ascii="Arial" w:eastAsia="Times New Roman" w:hAnsi="Arial" w:cs="Arial"/>
                <w:color w:val="000000"/>
              </w:rPr>
              <w:t>part</w:t>
            </w:r>
            <w:r w:rsidR="00D25EF6" w:rsidRPr="00C100E6">
              <w:rPr>
                <w:rFonts w:ascii="Arial" w:eastAsia="Times New Roman" w:hAnsi="Arial" w:cs="Arial"/>
                <w:color w:val="000000"/>
              </w:rPr>
              <w:t xml:space="preserve">-time, </w:t>
            </w:r>
            <w:r w:rsidRPr="00C100E6">
              <w:rPr>
                <w:rFonts w:ascii="Arial" w:eastAsia="Times New Roman" w:hAnsi="Arial" w:cs="Arial"/>
                <w:color w:val="000000"/>
              </w:rPr>
              <w:t>mother</w:t>
            </w:r>
            <w:r w:rsidR="00D25EF6" w:rsidRPr="00C100E6">
              <w:rPr>
                <w:rFonts w:ascii="Arial" w:eastAsia="Times New Roman" w:hAnsi="Arial" w:cs="Arial"/>
                <w:color w:val="000000"/>
              </w:rPr>
              <w:t xml:space="preserve"> </w:t>
            </w:r>
            <w:r w:rsidR="00992AB8" w:rsidRPr="00C100E6">
              <w:rPr>
                <w:rFonts w:ascii="Arial" w:eastAsia="Times New Roman" w:hAnsi="Arial" w:cs="Arial"/>
                <w:color w:val="000000"/>
              </w:rPr>
              <w:t>full</w:t>
            </w:r>
            <w:r w:rsidR="00D25EF6" w:rsidRPr="00C100E6">
              <w:rPr>
                <w:rFonts w:ascii="Arial" w:eastAsia="Times New Roman" w:hAnsi="Arial" w:cs="Arial"/>
                <w:color w:val="000000"/>
              </w:rPr>
              <w:t>-time</w:t>
            </w:r>
          </w:p>
        </w:tc>
        <w:tc>
          <w:tcPr>
            <w:tcW w:w="1272" w:type="pct"/>
            <w:noWrap/>
            <w:hideMark/>
          </w:tcPr>
          <w:p w14:paraId="18F31652" w14:textId="77777777" w:rsidR="00D25EF6" w:rsidRPr="00C100E6" w:rsidRDefault="00D25EF6" w:rsidP="00F0437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Less than 30 hours per week</w:t>
            </w:r>
          </w:p>
        </w:tc>
        <w:tc>
          <w:tcPr>
            <w:tcW w:w="1309" w:type="pct"/>
            <w:noWrap/>
            <w:hideMark/>
          </w:tcPr>
          <w:p w14:paraId="40ABFA84" w14:textId="77777777" w:rsidR="00D25EF6" w:rsidRPr="00C100E6" w:rsidRDefault="00D25EF6" w:rsidP="00F0437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Greater than or equal to 30 hours per week</w:t>
            </w:r>
          </w:p>
        </w:tc>
      </w:tr>
      <w:tr w:rsidR="00D25EF6" w:rsidRPr="00C100E6" w14:paraId="51F904C1" w14:textId="77777777" w:rsidTr="003042F8">
        <w:trPr>
          <w:trHeight w:val="300"/>
        </w:trPr>
        <w:tc>
          <w:tcPr>
            <w:cnfStyle w:val="001000000000" w:firstRow="0" w:lastRow="0" w:firstColumn="1" w:lastColumn="0" w:oddVBand="0" w:evenVBand="0" w:oddHBand="0" w:evenHBand="0" w:firstRowFirstColumn="0" w:firstRowLastColumn="0" w:lastRowFirstColumn="0" w:lastRowLastColumn="0"/>
            <w:tcW w:w="1303" w:type="pct"/>
            <w:noWrap/>
            <w:hideMark/>
          </w:tcPr>
          <w:p w14:paraId="1DE721E7" w14:textId="734A842A" w:rsidR="00D25EF6" w:rsidRPr="00C100E6" w:rsidRDefault="00D25EF6" w:rsidP="00F0437C">
            <w:pPr>
              <w:rPr>
                <w:rFonts w:ascii="Arial" w:eastAsia="Times New Roman" w:hAnsi="Arial" w:cs="Arial"/>
                <w:b w:val="0"/>
                <w:bCs w:val="0"/>
                <w:iCs/>
                <w:color w:val="000000"/>
              </w:rPr>
            </w:pPr>
            <w:r w:rsidRPr="00C100E6">
              <w:rPr>
                <w:rFonts w:ascii="Arial" w:eastAsia="Times New Roman" w:hAnsi="Arial" w:cs="Arial"/>
                <w:iCs/>
                <w:color w:val="000000"/>
              </w:rPr>
              <w:t>The male breadwinner</w:t>
            </w:r>
          </w:p>
        </w:tc>
        <w:tc>
          <w:tcPr>
            <w:tcW w:w="1115" w:type="pct"/>
            <w:noWrap/>
            <w:hideMark/>
          </w:tcPr>
          <w:p w14:paraId="470C6386" w14:textId="6F498B4F" w:rsidR="00D25EF6" w:rsidRPr="00C100E6" w:rsidRDefault="00D25EF6" w:rsidP="0032650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 xml:space="preserve">Only </w:t>
            </w:r>
            <w:r w:rsidR="0032650B" w:rsidRPr="00C100E6">
              <w:rPr>
                <w:rFonts w:ascii="Arial" w:eastAsia="Times New Roman" w:hAnsi="Arial" w:cs="Arial"/>
                <w:color w:val="000000"/>
              </w:rPr>
              <w:t>father</w:t>
            </w:r>
            <w:r w:rsidRPr="00C100E6">
              <w:rPr>
                <w:rFonts w:ascii="Arial" w:eastAsia="Times New Roman" w:hAnsi="Arial" w:cs="Arial"/>
                <w:color w:val="000000"/>
              </w:rPr>
              <w:t xml:space="preserve"> works</w:t>
            </w:r>
          </w:p>
        </w:tc>
        <w:tc>
          <w:tcPr>
            <w:tcW w:w="1272" w:type="pct"/>
            <w:noWrap/>
            <w:hideMark/>
          </w:tcPr>
          <w:p w14:paraId="4152E5E5" w14:textId="77777777" w:rsidR="00D25EF6" w:rsidRPr="00C100E6" w:rsidRDefault="00D25EF6" w:rsidP="00F0437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Greater than or equal to 30 hours per week</w:t>
            </w:r>
          </w:p>
        </w:tc>
        <w:tc>
          <w:tcPr>
            <w:tcW w:w="1309" w:type="pct"/>
            <w:noWrap/>
            <w:hideMark/>
          </w:tcPr>
          <w:p w14:paraId="244A5058" w14:textId="77777777" w:rsidR="00D25EF6" w:rsidRPr="00C100E6" w:rsidRDefault="00D25EF6" w:rsidP="00F0437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Female not employed (unemployed or inactive)</w:t>
            </w:r>
          </w:p>
        </w:tc>
      </w:tr>
      <w:tr w:rsidR="00D25EF6" w:rsidRPr="00C100E6" w14:paraId="515F6CEE" w14:textId="77777777" w:rsidTr="0030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pct"/>
            <w:noWrap/>
            <w:hideMark/>
          </w:tcPr>
          <w:p w14:paraId="59383036" w14:textId="5388DFFE" w:rsidR="00D25EF6" w:rsidRPr="00C100E6" w:rsidRDefault="00992AB8" w:rsidP="00F0437C">
            <w:pPr>
              <w:rPr>
                <w:rFonts w:ascii="Arial" w:eastAsia="Times New Roman" w:hAnsi="Arial" w:cs="Arial"/>
                <w:b w:val="0"/>
                <w:bCs w:val="0"/>
                <w:color w:val="000000"/>
              </w:rPr>
            </w:pPr>
            <w:r w:rsidRPr="00C100E6">
              <w:rPr>
                <w:rFonts w:ascii="Arial" w:eastAsia="Times New Roman" w:hAnsi="Arial" w:cs="Arial"/>
                <w:iCs/>
                <w:color w:val="000000"/>
              </w:rPr>
              <w:t>The female breadwinner</w:t>
            </w:r>
          </w:p>
        </w:tc>
        <w:tc>
          <w:tcPr>
            <w:tcW w:w="1115" w:type="pct"/>
            <w:noWrap/>
            <w:hideMark/>
          </w:tcPr>
          <w:p w14:paraId="5B9E6820" w14:textId="03A6F8A2" w:rsidR="00D25EF6" w:rsidRPr="00C100E6" w:rsidRDefault="00D25EF6" w:rsidP="0032650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 xml:space="preserve">Only </w:t>
            </w:r>
            <w:r w:rsidR="0032650B" w:rsidRPr="00C100E6">
              <w:rPr>
                <w:rFonts w:ascii="Arial" w:eastAsia="Times New Roman" w:hAnsi="Arial" w:cs="Arial"/>
                <w:color w:val="000000"/>
              </w:rPr>
              <w:t>mother</w:t>
            </w:r>
            <w:r w:rsidRPr="00C100E6">
              <w:rPr>
                <w:rFonts w:ascii="Arial" w:eastAsia="Times New Roman" w:hAnsi="Arial" w:cs="Arial"/>
                <w:color w:val="000000"/>
              </w:rPr>
              <w:t xml:space="preserve"> works</w:t>
            </w:r>
          </w:p>
        </w:tc>
        <w:tc>
          <w:tcPr>
            <w:tcW w:w="1272" w:type="pct"/>
            <w:noWrap/>
            <w:hideMark/>
          </w:tcPr>
          <w:p w14:paraId="670D6BAA" w14:textId="1F4AF866" w:rsidR="00D25EF6" w:rsidRPr="00C100E6" w:rsidRDefault="0032650B" w:rsidP="00F0437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Father</w:t>
            </w:r>
            <w:r w:rsidR="00D25EF6" w:rsidRPr="00C100E6">
              <w:rPr>
                <w:rFonts w:ascii="Arial" w:eastAsia="Times New Roman" w:hAnsi="Arial" w:cs="Arial"/>
                <w:color w:val="000000"/>
              </w:rPr>
              <w:t xml:space="preserve"> not employed (unemployed or inactive)</w:t>
            </w:r>
          </w:p>
        </w:tc>
        <w:tc>
          <w:tcPr>
            <w:tcW w:w="1309" w:type="pct"/>
            <w:noWrap/>
            <w:hideMark/>
          </w:tcPr>
          <w:p w14:paraId="08E84303" w14:textId="77777777" w:rsidR="00D25EF6" w:rsidRPr="00C100E6" w:rsidRDefault="00D25EF6" w:rsidP="00F0437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Greater than or equal to 30 hours per week</w:t>
            </w:r>
          </w:p>
        </w:tc>
      </w:tr>
      <w:tr w:rsidR="00D25EF6" w:rsidRPr="00C100E6" w14:paraId="33D9AB17" w14:textId="77777777" w:rsidTr="003042F8">
        <w:trPr>
          <w:trHeight w:val="300"/>
        </w:trPr>
        <w:tc>
          <w:tcPr>
            <w:cnfStyle w:val="001000000000" w:firstRow="0" w:lastRow="0" w:firstColumn="1" w:lastColumn="0" w:oddVBand="0" w:evenVBand="0" w:oddHBand="0" w:evenHBand="0" w:firstRowFirstColumn="0" w:firstRowLastColumn="0" w:lastRowFirstColumn="0" w:lastRowLastColumn="0"/>
            <w:tcW w:w="1303" w:type="pct"/>
            <w:noWrap/>
            <w:hideMark/>
          </w:tcPr>
          <w:p w14:paraId="54E2D20F" w14:textId="22017692" w:rsidR="00D25EF6" w:rsidRPr="00C100E6" w:rsidRDefault="00D25EF6" w:rsidP="00F0437C">
            <w:pPr>
              <w:rPr>
                <w:rFonts w:ascii="Arial" w:eastAsia="Times New Roman" w:hAnsi="Arial" w:cs="Arial"/>
                <w:b w:val="0"/>
                <w:bCs w:val="0"/>
                <w:color w:val="000000"/>
              </w:rPr>
            </w:pPr>
            <w:r w:rsidRPr="00C100E6">
              <w:rPr>
                <w:rFonts w:ascii="Arial" w:eastAsia="Times New Roman" w:hAnsi="Arial" w:cs="Arial"/>
                <w:color w:val="000000"/>
              </w:rPr>
              <w:t xml:space="preserve">Dual </w:t>
            </w:r>
            <w:r w:rsidR="001D6D32" w:rsidRPr="00C100E6">
              <w:rPr>
                <w:rFonts w:ascii="Arial" w:eastAsia="Times New Roman" w:hAnsi="Arial" w:cs="Arial"/>
                <w:color w:val="000000"/>
              </w:rPr>
              <w:t>part-time</w:t>
            </w:r>
          </w:p>
        </w:tc>
        <w:tc>
          <w:tcPr>
            <w:tcW w:w="1115" w:type="pct"/>
            <w:noWrap/>
            <w:hideMark/>
          </w:tcPr>
          <w:p w14:paraId="1CA15CFF" w14:textId="77777777" w:rsidR="00D25EF6" w:rsidRPr="00C100E6" w:rsidRDefault="00D25EF6" w:rsidP="00F0437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Both partners work part-time</w:t>
            </w:r>
          </w:p>
        </w:tc>
        <w:tc>
          <w:tcPr>
            <w:tcW w:w="1272" w:type="pct"/>
            <w:noWrap/>
            <w:hideMark/>
          </w:tcPr>
          <w:p w14:paraId="75796A6A" w14:textId="77777777" w:rsidR="00D25EF6" w:rsidRPr="00C100E6" w:rsidRDefault="00D25EF6" w:rsidP="00F0437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Greater than 0, less than 30 hours per week</w:t>
            </w:r>
          </w:p>
        </w:tc>
        <w:tc>
          <w:tcPr>
            <w:tcW w:w="1309" w:type="pct"/>
            <w:noWrap/>
            <w:hideMark/>
          </w:tcPr>
          <w:p w14:paraId="4DF46529" w14:textId="77777777" w:rsidR="00D25EF6" w:rsidRPr="00C100E6" w:rsidRDefault="00D25EF6" w:rsidP="00F0437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Greater than 0, less than 30 hours per week</w:t>
            </w:r>
          </w:p>
        </w:tc>
      </w:tr>
      <w:tr w:rsidR="00D25EF6" w:rsidRPr="00C100E6" w14:paraId="5FF581DA" w14:textId="77777777" w:rsidTr="0030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pct"/>
            <w:noWrap/>
          </w:tcPr>
          <w:p w14:paraId="408558FD" w14:textId="1DD77617" w:rsidR="00D25EF6" w:rsidRPr="00C100E6" w:rsidRDefault="00D25EF6" w:rsidP="00F0437C">
            <w:pPr>
              <w:rPr>
                <w:rFonts w:ascii="Arial" w:eastAsia="Times New Roman" w:hAnsi="Arial" w:cs="Arial"/>
                <w:b w:val="0"/>
                <w:bCs w:val="0"/>
                <w:color w:val="000000"/>
              </w:rPr>
            </w:pPr>
            <w:r w:rsidRPr="00C100E6">
              <w:rPr>
                <w:rFonts w:ascii="Arial" w:eastAsia="Times New Roman" w:hAnsi="Arial" w:cs="Arial"/>
                <w:color w:val="000000"/>
              </w:rPr>
              <w:t xml:space="preserve">Male sole </w:t>
            </w:r>
            <w:r w:rsidR="001D6D32" w:rsidRPr="00C100E6">
              <w:rPr>
                <w:rFonts w:ascii="Arial" w:eastAsia="Times New Roman" w:hAnsi="Arial" w:cs="Arial"/>
                <w:color w:val="000000"/>
              </w:rPr>
              <w:t>part-time</w:t>
            </w:r>
          </w:p>
        </w:tc>
        <w:tc>
          <w:tcPr>
            <w:tcW w:w="1115" w:type="pct"/>
            <w:noWrap/>
          </w:tcPr>
          <w:p w14:paraId="56B3AE43" w14:textId="0F7D2D83" w:rsidR="00D25EF6" w:rsidRPr="00C100E6" w:rsidRDefault="00D25EF6" w:rsidP="0032650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 xml:space="preserve">Only </w:t>
            </w:r>
            <w:r w:rsidR="0032650B" w:rsidRPr="00C100E6">
              <w:rPr>
                <w:rFonts w:ascii="Arial" w:eastAsia="Times New Roman" w:hAnsi="Arial" w:cs="Arial"/>
                <w:color w:val="000000"/>
              </w:rPr>
              <w:t>father</w:t>
            </w:r>
            <w:r w:rsidRPr="00C100E6">
              <w:rPr>
                <w:rFonts w:ascii="Arial" w:eastAsia="Times New Roman" w:hAnsi="Arial" w:cs="Arial"/>
                <w:color w:val="000000"/>
              </w:rPr>
              <w:t xml:space="preserve"> works, part-time hours</w:t>
            </w:r>
          </w:p>
        </w:tc>
        <w:tc>
          <w:tcPr>
            <w:tcW w:w="1272" w:type="pct"/>
            <w:noWrap/>
          </w:tcPr>
          <w:p w14:paraId="46311DB3" w14:textId="77777777" w:rsidR="00D25EF6" w:rsidRPr="00C100E6" w:rsidRDefault="00D25EF6" w:rsidP="00F0437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Greater than 0, less than 30 hours per week</w:t>
            </w:r>
          </w:p>
        </w:tc>
        <w:tc>
          <w:tcPr>
            <w:tcW w:w="1309" w:type="pct"/>
            <w:noWrap/>
          </w:tcPr>
          <w:p w14:paraId="654D424D" w14:textId="69271142" w:rsidR="00D25EF6" w:rsidRPr="00C100E6" w:rsidRDefault="0032650B" w:rsidP="00F0437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Mother</w:t>
            </w:r>
            <w:r w:rsidR="00D25EF6" w:rsidRPr="00C100E6">
              <w:rPr>
                <w:rFonts w:ascii="Arial" w:eastAsia="Times New Roman" w:hAnsi="Arial" w:cs="Arial"/>
                <w:color w:val="000000"/>
              </w:rPr>
              <w:t xml:space="preserve"> not employed (unemployed or inactive)</w:t>
            </w:r>
          </w:p>
        </w:tc>
      </w:tr>
      <w:tr w:rsidR="00D25EF6" w:rsidRPr="00C100E6" w14:paraId="7FEC4490" w14:textId="77777777" w:rsidTr="003042F8">
        <w:trPr>
          <w:trHeight w:val="300"/>
        </w:trPr>
        <w:tc>
          <w:tcPr>
            <w:cnfStyle w:val="001000000000" w:firstRow="0" w:lastRow="0" w:firstColumn="1" w:lastColumn="0" w:oddVBand="0" w:evenVBand="0" w:oddHBand="0" w:evenHBand="0" w:firstRowFirstColumn="0" w:firstRowLastColumn="0" w:lastRowFirstColumn="0" w:lastRowLastColumn="0"/>
            <w:tcW w:w="1303" w:type="pct"/>
            <w:noWrap/>
          </w:tcPr>
          <w:p w14:paraId="68836807" w14:textId="61308445" w:rsidR="00D25EF6" w:rsidRPr="00C100E6" w:rsidRDefault="00D25EF6" w:rsidP="00F0437C">
            <w:pPr>
              <w:rPr>
                <w:rFonts w:ascii="Arial" w:eastAsia="Times New Roman" w:hAnsi="Arial" w:cs="Arial"/>
                <w:b w:val="0"/>
                <w:bCs w:val="0"/>
              </w:rPr>
            </w:pPr>
            <w:r w:rsidRPr="00C100E6">
              <w:rPr>
                <w:rFonts w:ascii="Arial" w:eastAsia="Times New Roman" w:hAnsi="Arial" w:cs="Arial"/>
              </w:rPr>
              <w:t xml:space="preserve">Female sole </w:t>
            </w:r>
            <w:r w:rsidR="001D6D32" w:rsidRPr="00C100E6">
              <w:rPr>
                <w:rFonts w:ascii="Arial" w:eastAsia="Times New Roman" w:hAnsi="Arial" w:cs="Arial"/>
              </w:rPr>
              <w:t>part-time</w:t>
            </w:r>
          </w:p>
        </w:tc>
        <w:tc>
          <w:tcPr>
            <w:tcW w:w="1115" w:type="pct"/>
            <w:noWrap/>
          </w:tcPr>
          <w:p w14:paraId="143ABA99" w14:textId="6D8A2DFC" w:rsidR="00D25EF6" w:rsidRPr="00C100E6" w:rsidRDefault="00D25EF6" w:rsidP="0032650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100E6">
              <w:rPr>
                <w:rFonts w:ascii="Arial" w:eastAsia="Times New Roman" w:hAnsi="Arial" w:cs="Arial"/>
              </w:rPr>
              <w:t xml:space="preserve">Only </w:t>
            </w:r>
            <w:r w:rsidR="0032650B" w:rsidRPr="00C100E6">
              <w:rPr>
                <w:rFonts w:ascii="Arial" w:eastAsia="Times New Roman" w:hAnsi="Arial" w:cs="Arial"/>
              </w:rPr>
              <w:t>mother</w:t>
            </w:r>
            <w:r w:rsidRPr="00C100E6">
              <w:rPr>
                <w:rFonts w:ascii="Arial" w:eastAsia="Times New Roman" w:hAnsi="Arial" w:cs="Arial"/>
              </w:rPr>
              <w:t xml:space="preserve"> works, part-time hours</w:t>
            </w:r>
          </w:p>
        </w:tc>
        <w:tc>
          <w:tcPr>
            <w:tcW w:w="1272" w:type="pct"/>
            <w:noWrap/>
          </w:tcPr>
          <w:p w14:paraId="2C154232" w14:textId="1C17D0F3" w:rsidR="00D25EF6" w:rsidRPr="00C100E6" w:rsidRDefault="0032650B" w:rsidP="00F0437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100E6">
              <w:rPr>
                <w:rFonts w:ascii="Arial" w:eastAsia="Times New Roman" w:hAnsi="Arial" w:cs="Arial"/>
              </w:rPr>
              <w:t>Father</w:t>
            </w:r>
            <w:r w:rsidR="00D25EF6" w:rsidRPr="00C100E6">
              <w:rPr>
                <w:rFonts w:ascii="Arial" w:eastAsia="Times New Roman" w:hAnsi="Arial" w:cs="Arial"/>
              </w:rPr>
              <w:t xml:space="preserve"> not employed (unemployed or inactive)</w:t>
            </w:r>
          </w:p>
        </w:tc>
        <w:tc>
          <w:tcPr>
            <w:tcW w:w="1309" w:type="pct"/>
            <w:noWrap/>
          </w:tcPr>
          <w:p w14:paraId="46993DFF" w14:textId="77777777" w:rsidR="00D25EF6" w:rsidRPr="00C100E6" w:rsidRDefault="00D25EF6" w:rsidP="00F0437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100E6">
              <w:rPr>
                <w:rFonts w:ascii="Arial" w:eastAsia="Times New Roman" w:hAnsi="Arial" w:cs="Arial"/>
              </w:rPr>
              <w:t>Greater than 0, less than 30 hours per week</w:t>
            </w:r>
          </w:p>
        </w:tc>
      </w:tr>
      <w:tr w:rsidR="00D25EF6" w:rsidRPr="00C100E6" w14:paraId="31E61183" w14:textId="77777777" w:rsidTr="0030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pct"/>
            <w:noWrap/>
            <w:hideMark/>
          </w:tcPr>
          <w:p w14:paraId="260F3BDB" w14:textId="77777777" w:rsidR="00D25EF6" w:rsidRPr="00C100E6" w:rsidRDefault="00D25EF6" w:rsidP="00F0437C">
            <w:pPr>
              <w:rPr>
                <w:rFonts w:ascii="Arial" w:eastAsia="Times New Roman" w:hAnsi="Arial" w:cs="Arial"/>
                <w:b w:val="0"/>
                <w:bCs w:val="0"/>
                <w:color w:val="000000"/>
              </w:rPr>
            </w:pPr>
            <w:r w:rsidRPr="00C100E6">
              <w:rPr>
                <w:rFonts w:ascii="Arial" w:eastAsia="Times New Roman" w:hAnsi="Arial" w:cs="Arial"/>
                <w:color w:val="000000"/>
              </w:rPr>
              <w:t>Neither working</w:t>
            </w:r>
          </w:p>
        </w:tc>
        <w:tc>
          <w:tcPr>
            <w:tcW w:w="1115" w:type="pct"/>
            <w:noWrap/>
            <w:hideMark/>
          </w:tcPr>
          <w:p w14:paraId="3177F7A2" w14:textId="77777777" w:rsidR="00D25EF6" w:rsidRPr="00C100E6" w:rsidRDefault="00D25EF6" w:rsidP="00F0437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No partner working</w:t>
            </w:r>
          </w:p>
        </w:tc>
        <w:tc>
          <w:tcPr>
            <w:tcW w:w="1272" w:type="pct"/>
            <w:noWrap/>
            <w:hideMark/>
          </w:tcPr>
          <w:p w14:paraId="6263C8BB" w14:textId="1B88A028" w:rsidR="00D25EF6" w:rsidRPr="00C100E6" w:rsidRDefault="0032650B" w:rsidP="00F0437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Father</w:t>
            </w:r>
            <w:r w:rsidR="00D25EF6" w:rsidRPr="00C100E6">
              <w:rPr>
                <w:rFonts w:ascii="Arial" w:eastAsia="Times New Roman" w:hAnsi="Arial" w:cs="Arial"/>
                <w:color w:val="000000"/>
              </w:rPr>
              <w:t xml:space="preserve"> not employed (unemployed or inactive)</w:t>
            </w:r>
          </w:p>
        </w:tc>
        <w:tc>
          <w:tcPr>
            <w:tcW w:w="1309" w:type="pct"/>
            <w:noWrap/>
            <w:hideMark/>
          </w:tcPr>
          <w:p w14:paraId="2918A7B2" w14:textId="14C03BDB" w:rsidR="00D25EF6" w:rsidRPr="00C100E6" w:rsidRDefault="0032650B" w:rsidP="00F0437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Mother</w:t>
            </w:r>
            <w:r w:rsidR="00D25EF6" w:rsidRPr="00C100E6">
              <w:rPr>
                <w:rFonts w:ascii="Arial" w:eastAsia="Times New Roman" w:hAnsi="Arial" w:cs="Arial"/>
                <w:color w:val="000000"/>
              </w:rPr>
              <w:t xml:space="preserve"> not employed (unemployed or inactive)</w:t>
            </w:r>
          </w:p>
        </w:tc>
      </w:tr>
      <w:tr w:rsidR="00D25EF6" w:rsidRPr="00C100E6" w14:paraId="3FF1CC53" w14:textId="77777777" w:rsidTr="003042F8">
        <w:trPr>
          <w:trHeight w:val="300"/>
        </w:trPr>
        <w:tc>
          <w:tcPr>
            <w:cnfStyle w:val="001000000000" w:firstRow="0" w:lastRow="0" w:firstColumn="1" w:lastColumn="0" w:oddVBand="0" w:evenVBand="0" w:oddHBand="0" w:evenHBand="0" w:firstRowFirstColumn="0" w:firstRowLastColumn="0" w:lastRowFirstColumn="0" w:lastRowLastColumn="0"/>
            <w:tcW w:w="1303" w:type="pct"/>
            <w:noWrap/>
            <w:hideMark/>
          </w:tcPr>
          <w:p w14:paraId="623A8AC1" w14:textId="77777777" w:rsidR="00D25EF6" w:rsidRPr="00C100E6" w:rsidRDefault="00D25EF6" w:rsidP="00F0437C">
            <w:pPr>
              <w:rPr>
                <w:rFonts w:ascii="Arial" w:eastAsia="Times New Roman" w:hAnsi="Arial" w:cs="Arial"/>
                <w:b w:val="0"/>
                <w:bCs w:val="0"/>
                <w:color w:val="000000"/>
              </w:rPr>
            </w:pPr>
            <w:r w:rsidRPr="00C100E6">
              <w:rPr>
                <w:rFonts w:ascii="Arial" w:eastAsia="Times New Roman" w:hAnsi="Arial" w:cs="Arial"/>
                <w:color w:val="000000"/>
              </w:rPr>
              <w:t>Other</w:t>
            </w:r>
          </w:p>
        </w:tc>
        <w:tc>
          <w:tcPr>
            <w:tcW w:w="1115" w:type="pct"/>
            <w:noWrap/>
            <w:hideMark/>
          </w:tcPr>
          <w:p w14:paraId="7AEA08D8" w14:textId="77777777" w:rsidR="00D25EF6" w:rsidRPr="00C100E6" w:rsidRDefault="00D25EF6" w:rsidP="00F0437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At least one partner working but doesn't have usual hours</w:t>
            </w:r>
          </w:p>
        </w:tc>
        <w:tc>
          <w:tcPr>
            <w:tcW w:w="1272" w:type="pct"/>
            <w:noWrap/>
            <w:hideMark/>
          </w:tcPr>
          <w:p w14:paraId="7F623489" w14:textId="7B17494E" w:rsidR="00D25EF6" w:rsidRPr="00C100E6" w:rsidRDefault="00D25EF6" w:rsidP="0032650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 xml:space="preserve">(Either) </w:t>
            </w:r>
            <w:r w:rsidR="0032650B" w:rsidRPr="00C100E6">
              <w:rPr>
                <w:rFonts w:ascii="Arial" w:eastAsia="Times New Roman" w:hAnsi="Arial" w:cs="Arial"/>
                <w:color w:val="000000"/>
              </w:rPr>
              <w:t>Father</w:t>
            </w:r>
            <w:r w:rsidRPr="00C100E6">
              <w:rPr>
                <w:rFonts w:ascii="Arial" w:eastAsia="Times New Roman" w:hAnsi="Arial" w:cs="Arial"/>
                <w:color w:val="000000"/>
              </w:rPr>
              <w:t xml:space="preserve"> works, but hours vary drastically</w:t>
            </w:r>
          </w:p>
        </w:tc>
        <w:tc>
          <w:tcPr>
            <w:tcW w:w="1309" w:type="pct"/>
            <w:noWrap/>
            <w:hideMark/>
          </w:tcPr>
          <w:p w14:paraId="75866586" w14:textId="68D732C7" w:rsidR="00D25EF6" w:rsidRPr="00C100E6" w:rsidRDefault="00D25EF6" w:rsidP="0032650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100E6">
              <w:rPr>
                <w:rFonts w:ascii="Arial" w:eastAsia="Times New Roman" w:hAnsi="Arial" w:cs="Arial"/>
                <w:color w:val="000000"/>
              </w:rPr>
              <w:t xml:space="preserve">(Or) </w:t>
            </w:r>
            <w:r w:rsidR="0032650B" w:rsidRPr="00C100E6">
              <w:rPr>
                <w:rFonts w:ascii="Arial" w:eastAsia="Times New Roman" w:hAnsi="Arial" w:cs="Arial"/>
                <w:color w:val="000000"/>
              </w:rPr>
              <w:t>Mother</w:t>
            </w:r>
            <w:r w:rsidRPr="00C100E6">
              <w:rPr>
                <w:rFonts w:ascii="Arial" w:eastAsia="Times New Roman" w:hAnsi="Arial" w:cs="Arial"/>
                <w:color w:val="000000"/>
              </w:rPr>
              <w:t xml:space="preserve"> works, but hours vary drastically</w:t>
            </w:r>
          </w:p>
        </w:tc>
      </w:tr>
    </w:tbl>
    <w:p w14:paraId="3A3875BA" w14:textId="77777777" w:rsidR="00F0437C" w:rsidRPr="00C100E6" w:rsidRDefault="00F0437C" w:rsidP="00E00A86">
      <w:pPr>
        <w:jc w:val="both"/>
        <w:rPr>
          <w:rFonts w:ascii="Arial" w:hAnsi="Arial" w:cs="Arial"/>
          <w:b/>
          <w:color w:val="0070C0"/>
        </w:rPr>
      </w:pPr>
    </w:p>
    <w:p w14:paraId="3E565AD9" w14:textId="6CBF360E" w:rsidR="00D64C0D" w:rsidRPr="00C100E6" w:rsidRDefault="00D64C0D" w:rsidP="00E00A86">
      <w:pPr>
        <w:jc w:val="both"/>
        <w:rPr>
          <w:rFonts w:ascii="Arial" w:hAnsi="Arial" w:cs="Arial"/>
        </w:rPr>
      </w:pPr>
      <w:r w:rsidRPr="00C100E6">
        <w:rPr>
          <w:rFonts w:ascii="Arial" w:hAnsi="Arial" w:cs="Arial"/>
        </w:rPr>
        <w:t xml:space="preserve">For the purposes of these short briefing papers, the six non-standard working arrangements have been grouped together into </w:t>
      </w:r>
      <w:r w:rsidR="00B23D7B" w:rsidRPr="00C100E6">
        <w:rPr>
          <w:rFonts w:ascii="Arial" w:hAnsi="Arial" w:cs="Arial"/>
        </w:rPr>
        <w:t>a single</w:t>
      </w:r>
      <w:r w:rsidRPr="00C100E6">
        <w:rPr>
          <w:rFonts w:ascii="Arial" w:hAnsi="Arial" w:cs="Arial"/>
        </w:rPr>
        <w:t xml:space="preserve"> category.</w:t>
      </w:r>
    </w:p>
    <w:p w14:paraId="25E180B1" w14:textId="77777777" w:rsidR="00562C35" w:rsidRDefault="00562C35" w:rsidP="00E00A86">
      <w:pPr>
        <w:jc w:val="both"/>
        <w:rPr>
          <w:rFonts w:ascii="Arial" w:hAnsi="Arial" w:cs="Arial"/>
          <w:b/>
          <w:color w:val="00597F"/>
          <w:sz w:val="30"/>
          <w:szCs w:val="30"/>
        </w:rPr>
      </w:pPr>
    </w:p>
    <w:p w14:paraId="230937CA" w14:textId="77777777" w:rsidR="00E00A86" w:rsidRPr="00C100E6" w:rsidRDefault="00E00A86" w:rsidP="00E00A86">
      <w:pPr>
        <w:jc w:val="both"/>
        <w:rPr>
          <w:rFonts w:ascii="Arial" w:hAnsi="Arial" w:cs="Arial"/>
          <w:color w:val="00597F"/>
          <w:sz w:val="30"/>
          <w:szCs w:val="30"/>
        </w:rPr>
      </w:pPr>
      <w:r w:rsidRPr="00C100E6">
        <w:rPr>
          <w:rFonts w:ascii="Arial" w:hAnsi="Arial" w:cs="Arial"/>
          <w:b/>
          <w:color w:val="00597F"/>
          <w:sz w:val="30"/>
          <w:szCs w:val="30"/>
        </w:rPr>
        <w:lastRenderedPageBreak/>
        <w:t>Country Groupings</w:t>
      </w:r>
    </w:p>
    <w:p w14:paraId="33AE0458" w14:textId="1DF83839" w:rsidR="00E00A86" w:rsidRPr="00C100E6" w:rsidRDefault="00E00A86" w:rsidP="00E00A86">
      <w:pPr>
        <w:jc w:val="both"/>
        <w:rPr>
          <w:rFonts w:ascii="Arial" w:hAnsi="Arial" w:cs="Arial"/>
        </w:rPr>
      </w:pPr>
      <w:r w:rsidRPr="00C100E6">
        <w:rPr>
          <w:rFonts w:ascii="Arial" w:hAnsi="Arial" w:cs="Arial"/>
        </w:rPr>
        <w:t xml:space="preserve">There are four key groups that had similar </w:t>
      </w:r>
      <w:r w:rsidR="00B23D7B" w:rsidRPr="00C100E6">
        <w:rPr>
          <w:rFonts w:ascii="Arial" w:hAnsi="Arial" w:cs="Arial"/>
        </w:rPr>
        <w:t xml:space="preserve">employment </w:t>
      </w:r>
      <w:r w:rsidRPr="00C100E6">
        <w:rPr>
          <w:rFonts w:ascii="Arial" w:hAnsi="Arial" w:cs="Arial"/>
        </w:rPr>
        <w:t>patterns</w:t>
      </w:r>
      <w:r w:rsidR="008169DE" w:rsidRPr="00C100E6">
        <w:rPr>
          <w:rFonts w:ascii="Arial" w:hAnsi="Arial" w:cs="Arial"/>
        </w:rPr>
        <w:t>, and can be categorised by their experience of the recession</w:t>
      </w:r>
      <w:r w:rsidR="00065EE1" w:rsidRPr="00C100E6">
        <w:rPr>
          <w:rFonts w:ascii="Arial" w:hAnsi="Arial" w:cs="Arial"/>
        </w:rPr>
        <w:t xml:space="preserve"> and geographical location</w:t>
      </w:r>
      <w:r w:rsidRPr="00C100E6">
        <w:rPr>
          <w:rFonts w:ascii="Arial" w:hAnsi="Arial" w:cs="Arial"/>
        </w:rPr>
        <w:t xml:space="preserve">. The four country groups are: </w:t>
      </w:r>
      <w:r w:rsidRPr="00C100E6">
        <w:rPr>
          <w:rFonts w:ascii="Arial" w:hAnsi="Arial" w:cs="Arial"/>
          <w:i/>
        </w:rPr>
        <w:t>Growth</w:t>
      </w:r>
      <w:r w:rsidRPr="00C100E6">
        <w:rPr>
          <w:rFonts w:ascii="Arial" w:hAnsi="Arial" w:cs="Arial"/>
        </w:rPr>
        <w:t xml:space="preserve">, </w:t>
      </w:r>
      <w:r w:rsidR="00065EE1" w:rsidRPr="00C100E6">
        <w:rPr>
          <w:rFonts w:ascii="Arial" w:hAnsi="Arial" w:cs="Arial"/>
          <w:i/>
        </w:rPr>
        <w:t xml:space="preserve">Severe </w:t>
      </w:r>
      <w:r w:rsidRPr="00C100E6">
        <w:rPr>
          <w:rFonts w:ascii="Arial" w:hAnsi="Arial" w:cs="Arial"/>
          <w:i/>
        </w:rPr>
        <w:t>Recession</w:t>
      </w:r>
      <w:r w:rsidRPr="00C100E6">
        <w:rPr>
          <w:rFonts w:ascii="Arial" w:hAnsi="Arial" w:cs="Arial"/>
        </w:rPr>
        <w:t xml:space="preserve">, </w:t>
      </w:r>
      <w:r w:rsidR="00065EE1" w:rsidRPr="00C100E6">
        <w:rPr>
          <w:rFonts w:ascii="Arial" w:hAnsi="Arial" w:cs="Arial"/>
          <w:i/>
        </w:rPr>
        <w:t>Recession (North</w:t>
      </w:r>
      <w:r w:rsidR="001D6D32" w:rsidRPr="00C100E6">
        <w:rPr>
          <w:rFonts w:ascii="Arial" w:hAnsi="Arial" w:cs="Arial"/>
          <w:i/>
        </w:rPr>
        <w:t>ern</w:t>
      </w:r>
      <w:r w:rsidR="00065EE1" w:rsidRPr="00C100E6">
        <w:rPr>
          <w:rFonts w:ascii="Arial" w:hAnsi="Arial" w:cs="Arial"/>
          <w:i/>
        </w:rPr>
        <w:t xml:space="preserve"> and West</w:t>
      </w:r>
      <w:r w:rsidR="001D6D32" w:rsidRPr="00C100E6">
        <w:rPr>
          <w:rFonts w:ascii="Arial" w:hAnsi="Arial" w:cs="Arial"/>
          <w:i/>
        </w:rPr>
        <w:t>ern</w:t>
      </w:r>
      <w:r w:rsidR="00065EE1" w:rsidRPr="00C100E6">
        <w:rPr>
          <w:rFonts w:ascii="Arial" w:hAnsi="Arial" w:cs="Arial"/>
          <w:i/>
        </w:rPr>
        <w:t>)</w:t>
      </w:r>
      <w:r w:rsidR="00065EE1" w:rsidRPr="00C100E6">
        <w:rPr>
          <w:rFonts w:ascii="Arial" w:hAnsi="Arial" w:cs="Arial"/>
        </w:rPr>
        <w:t xml:space="preserve"> </w:t>
      </w:r>
      <w:r w:rsidRPr="00C100E6">
        <w:rPr>
          <w:rFonts w:ascii="Arial" w:hAnsi="Arial" w:cs="Arial"/>
        </w:rPr>
        <w:t xml:space="preserve">and </w:t>
      </w:r>
      <w:r w:rsidR="00065EE1" w:rsidRPr="00C100E6">
        <w:rPr>
          <w:rFonts w:ascii="Arial" w:hAnsi="Arial" w:cs="Arial"/>
          <w:i/>
        </w:rPr>
        <w:t>Recession (East</w:t>
      </w:r>
      <w:r w:rsidR="001D6D32" w:rsidRPr="00C100E6">
        <w:rPr>
          <w:rFonts w:ascii="Arial" w:hAnsi="Arial" w:cs="Arial"/>
          <w:i/>
        </w:rPr>
        <w:t>ern</w:t>
      </w:r>
      <w:r w:rsidR="00065EE1" w:rsidRPr="00C100E6">
        <w:rPr>
          <w:rFonts w:ascii="Arial" w:hAnsi="Arial" w:cs="Arial"/>
          <w:i/>
        </w:rPr>
        <w:t>)</w:t>
      </w:r>
      <w:r w:rsidRPr="00C100E6">
        <w:rPr>
          <w:rFonts w:ascii="Arial" w:hAnsi="Arial" w:cs="Arial"/>
        </w:rPr>
        <w:t>.</w:t>
      </w:r>
    </w:p>
    <w:p w14:paraId="35E97425" w14:textId="062EF49B" w:rsidR="00E00A86" w:rsidRPr="00C100E6" w:rsidRDefault="00E00A86" w:rsidP="00E00A86">
      <w:pPr>
        <w:jc w:val="both"/>
        <w:rPr>
          <w:rFonts w:ascii="Arial" w:hAnsi="Arial" w:cs="Arial"/>
        </w:rPr>
      </w:pPr>
      <w:r w:rsidRPr="00C100E6">
        <w:rPr>
          <w:rFonts w:ascii="Arial" w:hAnsi="Arial" w:cs="Arial"/>
          <w:i/>
        </w:rPr>
        <w:t>Growth</w:t>
      </w:r>
      <w:r w:rsidRPr="00C100E6">
        <w:rPr>
          <w:rFonts w:ascii="Arial" w:hAnsi="Arial" w:cs="Arial"/>
        </w:rPr>
        <w:t xml:space="preserve"> countries are countries that have grown despite the Great Recession</w:t>
      </w:r>
      <w:r w:rsidR="00264677" w:rsidRPr="00C100E6">
        <w:rPr>
          <w:rFonts w:ascii="Arial" w:hAnsi="Arial" w:cs="Arial"/>
        </w:rPr>
        <w:t>:</w:t>
      </w:r>
      <w:r w:rsidRPr="00C100E6">
        <w:rPr>
          <w:rFonts w:ascii="Arial" w:hAnsi="Arial" w:cs="Arial"/>
        </w:rPr>
        <w:t xml:space="preserve"> Germany and Poland. Germany grew on average by 2.0% a year between 2010 and 2014, and Poland grew on average by 3.1% over the same period.</w:t>
      </w:r>
      <w:r w:rsidRPr="00C100E6">
        <w:rPr>
          <w:rStyle w:val="FootnoteReference"/>
          <w:rFonts w:ascii="Arial" w:hAnsi="Arial" w:cs="Arial"/>
        </w:rPr>
        <w:footnoteReference w:id="1"/>
      </w:r>
    </w:p>
    <w:p w14:paraId="5819708E" w14:textId="1D4F46C7" w:rsidR="00E00A86" w:rsidRPr="00C100E6" w:rsidRDefault="00065EE1" w:rsidP="00E00A86">
      <w:pPr>
        <w:jc w:val="both"/>
        <w:rPr>
          <w:rFonts w:ascii="Arial" w:hAnsi="Arial" w:cs="Arial"/>
        </w:rPr>
      </w:pPr>
      <w:r w:rsidRPr="00C100E6">
        <w:rPr>
          <w:rFonts w:ascii="Arial" w:hAnsi="Arial" w:cs="Arial"/>
          <w:i/>
        </w:rPr>
        <w:t>Severe Recession</w:t>
      </w:r>
      <w:r w:rsidRPr="00C100E6">
        <w:rPr>
          <w:rFonts w:ascii="Arial" w:hAnsi="Arial" w:cs="Arial"/>
        </w:rPr>
        <w:t xml:space="preserve"> </w:t>
      </w:r>
      <w:r w:rsidR="00E00A86" w:rsidRPr="00C100E6">
        <w:rPr>
          <w:rFonts w:ascii="Arial" w:hAnsi="Arial" w:cs="Arial"/>
        </w:rPr>
        <w:t xml:space="preserve">countries are </w:t>
      </w:r>
      <w:r w:rsidR="00B23D7B" w:rsidRPr="00C100E6">
        <w:rPr>
          <w:rFonts w:ascii="Arial" w:hAnsi="Arial" w:cs="Arial"/>
        </w:rPr>
        <w:t>EU</w:t>
      </w:r>
      <w:r w:rsidR="001D6D32" w:rsidRPr="00C100E6">
        <w:rPr>
          <w:rFonts w:ascii="Arial" w:hAnsi="Arial" w:cs="Arial"/>
        </w:rPr>
        <w:t>27</w:t>
      </w:r>
      <w:r w:rsidR="00B23D7B" w:rsidRPr="00C100E6">
        <w:rPr>
          <w:rFonts w:ascii="Arial" w:hAnsi="Arial" w:cs="Arial"/>
        </w:rPr>
        <w:t xml:space="preserve"> countries</w:t>
      </w:r>
      <w:r w:rsidRPr="00C100E6">
        <w:rPr>
          <w:rFonts w:ascii="Arial" w:hAnsi="Arial" w:cs="Arial"/>
        </w:rPr>
        <w:t xml:space="preserve"> </w:t>
      </w:r>
      <w:r w:rsidR="00E00A86" w:rsidRPr="00C100E6">
        <w:rPr>
          <w:rFonts w:ascii="Arial" w:hAnsi="Arial" w:cs="Arial"/>
        </w:rPr>
        <w:t>that have been severely impacted by the recession and the sovereign debt crises. These countries have experienced falls in output and large increases in unemployment: Greece, Italy, Ireland, Portugal and Spain.</w:t>
      </w:r>
    </w:p>
    <w:p w14:paraId="3E8F0632" w14:textId="6AC70AE3" w:rsidR="009B3EBA" w:rsidRPr="00C100E6" w:rsidRDefault="00065EE1" w:rsidP="00E00A86">
      <w:pPr>
        <w:jc w:val="both"/>
        <w:rPr>
          <w:rFonts w:ascii="Arial" w:hAnsi="Arial" w:cs="Arial"/>
        </w:rPr>
      </w:pPr>
      <w:r w:rsidRPr="00C100E6">
        <w:rPr>
          <w:rFonts w:ascii="Arial" w:hAnsi="Arial" w:cs="Arial"/>
          <w:i/>
        </w:rPr>
        <w:t>Recession (North</w:t>
      </w:r>
      <w:r w:rsidR="00D926A8" w:rsidRPr="00C100E6">
        <w:rPr>
          <w:rFonts w:ascii="Arial" w:hAnsi="Arial" w:cs="Arial"/>
          <w:i/>
        </w:rPr>
        <w:t>ern</w:t>
      </w:r>
      <w:r w:rsidRPr="00C100E6">
        <w:rPr>
          <w:rFonts w:ascii="Arial" w:hAnsi="Arial" w:cs="Arial"/>
          <w:i/>
        </w:rPr>
        <w:t xml:space="preserve"> and West</w:t>
      </w:r>
      <w:r w:rsidR="00D926A8" w:rsidRPr="00C100E6">
        <w:rPr>
          <w:rFonts w:ascii="Arial" w:hAnsi="Arial" w:cs="Arial"/>
          <w:i/>
        </w:rPr>
        <w:t>ern</w:t>
      </w:r>
      <w:r w:rsidRPr="00C100E6">
        <w:rPr>
          <w:rFonts w:ascii="Arial" w:hAnsi="Arial" w:cs="Arial"/>
          <w:i/>
        </w:rPr>
        <w:t>)</w:t>
      </w:r>
      <w:r w:rsidRPr="00C100E6">
        <w:rPr>
          <w:rFonts w:ascii="Arial" w:hAnsi="Arial" w:cs="Arial"/>
        </w:rPr>
        <w:t xml:space="preserve"> </w:t>
      </w:r>
      <w:r w:rsidR="00956863" w:rsidRPr="00C100E6">
        <w:rPr>
          <w:rFonts w:ascii="Arial" w:hAnsi="Arial" w:cs="Arial"/>
        </w:rPr>
        <w:t>countries are EU2</w:t>
      </w:r>
      <w:r w:rsidR="001D6D32" w:rsidRPr="00C100E6">
        <w:rPr>
          <w:rFonts w:ascii="Arial" w:hAnsi="Arial" w:cs="Arial"/>
        </w:rPr>
        <w:t>7</w:t>
      </w:r>
      <w:r w:rsidR="00E00A86" w:rsidRPr="00C100E6">
        <w:rPr>
          <w:rFonts w:ascii="Arial" w:hAnsi="Arial" w:cs="Arial"/>
        </w:rPr>
        <w:t xml:space="preserve"> </w:t>
      </w:r>
      <w:r w:rsidRPr="00C100E6">
        <w:rPr>
          <w:rFonts w:ascii="Arial" w:hAnsi="Arial" w:cs="Arial"/>
        </w:rPr>
        <w:t xml:space="preserve">countries </w:t>
      </w:r>
      <w:r w:rsidR="00E00A86" w:rsidRPr="00C100E6">
        <w:rPr>
          <w:rFonts w:ascii="Arial" w:hAnsi="Arial" w:cs="Arial"/>
        </w:rPr>
        <w:t xml:space="preserve">that have </w:t>
      </w:r>
      <w:r w:rsidRPr="00C100E6">
        <w:rPr>
          <w:rFonts w:ascii="Arial" w:hAnsi="Arial" w:cs="Arial"/>
        </w:rPr>
        <w:t>experienced recession</w:t>
      </w:r>
      <w:r w:rsidR="00E00A86" w:rsidRPr="00C100E6">
        <w:rPr>
          <w:rFonts w:ascii="Arial" w:hAnsi="Arial" w:cs="Arial"/>
        </w:rPr>
        <w:t xml:space="preserve">: Austria, Belgium, France, </w:t>
      </w:r>
      <w:r w:rsidR="001D6D32" w:rsidRPr="00C100E6">
        <w:rPr>
          <w:rFonts w:ascii="Arial" w:hAnsi="Arial" w:cs="Arial"/>
        </w:rPr>
        <w:t>the Netherlands</w:t>
      </w:r>
      <w:r w:rsidR="00E00A86" w:rsidRPr="00C100E6">
        <w:rPr>
          <w:rFonts w:ascii="Arial" w:hAnsi="Arial" w:cs="Arial"/>
        </w:rPr>
        <w:t xml:space="preserve"> and the UK.</w:t>
      </w:r>
    </w:p>
    <w:p w14:paraId="0A2EFE7D" w14:textId="70F9A17F" w:rsidR="00E00A86" w:rsidRPr="00C100E6" w:rsidRDefault="00065EE1" w:rsidP="00E00A86">
      <w:pPr>
        <w:jc w:val="both"/>
        <w:rPr>
          <w:rFonts w:ascii="Arial" w:hAnsi="Arial" w:cs="Arial"/>
        </w:rPr>
      </w:pPr>
      <w:r w:rsidRPr="00C100E6">
        <w:rPr>
          <w:rFonts w:ascii="Arial" w:hAnsi="Arial" w:cs="Arial"/>
          <w:i/>
        </w:rPr>
        <w:t>Recession (East</w:t>
      </w:r>
      <w:r w:rsidR="00D926A8" w:rsidRPr="00C100E6">
        <w:rPr>
          <w:rFonts w:ascii="Arial" w:hAnsi="Arial" w:cs="Arial"/>
          <w:i/>
        </w:rPr>
        <w:t>ern</w:t>
      </w:r>
      <w:r w:rsidRPr="00C100E6">
        <w:rPr>
          <w:rFonts w:ascii="Arial" w:hAnsi="Arial" w:cs="Arial"/>
          <w:i/>
        </w:rPr>
        <w:t>)</w:t>
      </w:r>
      <w:r w:rsidR="00E00A86" w:rsidRPr="00C100E6">
        <w:rPr>
          <w:rFonts w:ascii="Arial" w:hAnsi="Arial" w:cs="Arial"/>
        </w:rPr>
        <w:t xml:space="preserve"> countries are </w:t>
      </w:r>
      <w:r w:rsidRPr="00C100E6">
        <w:rPr>
          <w:rFonts w:ascii="Arial" w:hAnsi="Arial" w:cs="Arial"/>
        </w:rPr>
        <w:t>EU</w:t>
      </w:r>
      <w:r w:rsidR="001D6D32" w:rsidRPr="00C100E6">
        <w:rPr>
          <w:rFonts w:ascii="Arial" w:hAnsi="Arial" w:cs="Arial"/>
        </w:rPr>
        <w:t>27</w:t>
      </w:r>
      <w:r w:rsidRPr="00C100E6">
        <w:rPr>
          <w:rFonts w:ascii="Arial" w:hAnsi="Arial" w:cs="Arial"/>
        </w:rPr>
        <w:t xml:space="preserve"> countries </w:t>
      </w:r>
      <w:r w:rsidR="00E00A86" w:rsidRPr="00C100E6">
        <w:rPr>
          <w:rFonts w:ascii="Arial" w:hAnsi="Arial" w:cs="Arial"/>
        </w:rPr>
        <w:t>that have joined the EU since the 2004 and 2007 enlargements</w:t>
      </w:r>
      <w:r w:rsidR="00F31FB2" w:rsidRPr="00C100E6">
        <w:rPr>
          <w:rFonts w:ascii="Arial" w:hAnsi="Arial" w:cs="Arial"/>
        </w:rPr>
        <w:t xml:space="preserve"> and also experienced the recession</w:t>
      </w:r>
      <w:r w:rsidR="00E00A86" w:rsidRPr="00C100E6">
        <w:rPr>
          <w:rFonts w:ascii="Arial" w:hAnsi="Arial" w:cs="Arial"/>
        </w:rPr>
        <w:t>: Bulgaria, the Czech Republic, Hungary, Romania and Slovakia.</w:t>
      </w:r>
    </w:p>
    <w:p w14:paraId="47E5C718" w14:textId="1142BAF5" w:rsidR="00E00A86" w:rsidRPr="00C100E6" w:rsidRDefault="00264677" w:rsidP="00E97EA9">
      <w:pPr>
        <w:jc w:val="both"/>
        <w:rPr>
          <w:rFonts w:ascii="Arial" w:hAnsi="Arial" w:cs="Arial"/>
        </w:rPr>
      </w:pPr>
      <w:r w:rsidRPr="00C100E6">
        <w:rPr>
          <w:rFonts w:ascii="Arial" w:hAnsi="Arial" w:cs="Arial"/>
        </w:rPr>
        <w:t>Table 2</w:t>
      </w:r>
      <w:r w:rsidR="008169DE" w:rsidRPr="00C100E6">
        <w:rPr>
          <w:rFonts w:ascii="Arial" w:hAnsi="Arial" w:cs="Arial"/>
        </w:rPr>
        <w:t xml:space="preserve"> below presents annual GDP growth rates for each country for the period 2001-2013. The chart displays growth over the recessionary period (2007 – 2012), and whether growth was positive (blue) or negative (red) in each year.</w:t>
      </w:r>
    </w:p>
    <w:p w14:paraId="56FFEB79" w14:textId="651E8AB8" w:rsidR="00264677" w:rsidRPr="00C100E6" w:rsidRDefault="00264677" w:rsidP="00E97EA9">
      <w:pPr>
        <w:jc w:val="both"/>
        <w:rPr>
          <w:rFonts w:ascii="Arial" w:hAnsi="Arial" w:cs="Arial"/>
          <w:b/>
          <w:i/>
        </w:rPr>
      </w:pPr>
      <w:r w:rsidRPr="00C100E6">
        <w:rPr>
          <w:rFonts w:ascii="Arial" w:hAnsi="Arial" w:cs="Arial"/>
          <w:b/>
          <w:i/>
        </w:rPr>
        <w:t>Table 2 – GDP growth, 2001-2013</w:t>
      </w:r>
    </w:p>
    <w:p w14:paraId="5513BAB6" w14:textId="280929A6" w:rsidR="00E97EA9" w:rsidRPr="00C100E6" w:rsidRDefault="00562C35" w:rsidP="008169DE">
      <w:pPr>
        <w:ind w:hanging="851"/>
        <w:jc w:val="both"/>
        <w:rPr>
          <w:rFonts w:ascii="Arial" w:hAnsi="Arial" w:cs="Arial"/>
          <w:b/>
          <w:color w:val="0070C0"/>
        </w:rPr>
      </w:pPr>
      <w:r w:rsidRPr="00C100E6">
        <w:rPr>
          <w:rFonts w:ascii="Arial" w:hAnsi="Arial" w:cs="Arial"/>
          <w:noProof/>
          <w:lang w:eastAsia="en-GB"/>
        </w:rPr>
        <w:drawing>
          <wp:inline distT="0" distB="0" distL="0" distR="0" wp14:anchorId="028F9AF4" wp14:editId="07E2F280">
            <wp:extent cx="6921500" cy="3796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2575" cy="3797038"/>
                    </a:xfrm>
                    <a:prstGeom prst="rect">
                      <a:avLst/>
                    </a:prstGeom>
                    <a:noFill/>
                    <a:ln>
                      <a:noFill/>
                    </a:ln>
                  </pic:spPr>
                </pic:pic>
              </a:graphicData>
            </a:graphic>
          </wp:inline>
        </w:drawing>
      </w:r>
    </w:p>
    <w:p w14:paraId="4BCA6103" w14:textId="47FBF595" w:rsidR="00FA299D" w:rsidRPr="00C100E6" w:rsidRDefault="00FA299D" w:rsidP="00F36080">
      <w:pPr>
        <w:ind w:hanging="1134"/>
        <w:jc w:val="both"/>
        <w:rPr>
          <w:rFonts w:ascii="Arial" w:hAnsi="Arial" w:cs="Arial"/>
        </w:rPr>
      </w:pPr>
    </w:p>
    <w:p w14:paraId="67B9436C" w14:textId="77777777" w:rsidR="009B3EBA" w:rsidRPr="00C100E6" w:rsidRDefault="009B3EBA" w:rsidP="009B3EBA">
      <w:pPr>
        <w:jc w:val="both"/>
        <w:rPr>
          <w:rFonts w:ascii="Arial" w:hAnsi="Arial" w:cs="Arial"/>
          <w:b/>
          <w:color w:val="00597F"/>
          <w:sz w:val="30"/>
          <w:szCs w:val="30"/>
        </w:rPr>
      </w:pPr>
      <w:r w:rsidRPr="00C100E6">
        <w:rPr>
          <w:rFonts w:ascii="Arial" w:hAnsi="Arial" w:cs="Arial"/>
          <w:b/>
          <w:color w:val="00597F"/>
          <w:sz w:val="30"/>
          <w:szCs w:val="30"/>
        </w:rPr>
        <w:lastRenderedPageBreak/>
        <w:t>Significance Tests</w:t>
      </w:r>
    </w:p>
    <w:p w14:paraId="495C7A86" w14:textId="77777777" w:rsidR="009B3EBA" w:rsidRPr="00C100E6" w:rsidRDefault="009B3EBA" w:rsidP="009B3EBA">
      <w:pPr>
        <w:jc w:val="both"/>
        <w:rPr>
          <w:rFonts w:ascii="Arial" w:hAnsi="Arial" w:cs="Arial"/>
        </w:rPr>
      </w:pPr>
      <w:r w:rsidRPr="00C100E6">
        <w:rPr>
          <w:rFonts w:ascii="Arial" w:hAnsi="Arial" w:cs="Arial"/>
        </w:rPr>
        <w:t>Significance is calculated using Welch’s ‘t’ tests for changes in means between the base year (the earliest year for which sufficient data is available in that country – this can be any year from 2001 onwards) and the 2013. Significance at the 5% (**) and 1% (***) levels are reported. Some changes may be significant at the 10% level, however these are generally not reported.</w:t>
      </w:r>
    </w:p>
    <w:p w14:paraId="11280ECD" w14:textId="77777777" w:rsidR="009B3EBA" w:rsidRPr="00C100E6" w:rsidRDefault="009B3EBA" w:rsidP="00F0437C">
      <w:pPr>
        <w:ind w:left="-567"/>
        <w:jc w:val="both"/>
        <w:rPr>
          <w:rFonts w:ascii="Arial" w:hAnsi="Arial" w:cs="Arial"/>
        </w:rPr>
      </w:pPr>
    </w:p>
    <w:p w14:paraId="2DF87C25" w14:textId="5E9FE665" w:rsidR="00FA299D" w:rsidRPr="00C100E6" w:rsidRDefault="00065EE1" w:rsidP="00065EE1">
      <w:pPr>
        <w:ind w:left="-567"/>
        <w:jc w:val="both"/>
        <w:rPr>
          <w:rFonts w:ascii="Arial" w:hAnsi="Arial" w:cs="Arial"/>
        </w:rPr>
      </w:pPr>
      <w:r w:rsidRPr="00C100E6">
        <w:rPr>
          <w:rFonts w:ascii="Arial" w:hAnsi="Arial" w:cs="Arial"/>
          <w:lang w:val="en-US"/>
        </w:rPr>
        <w:t xml:space="preserve">Parental Working in Europe: </w:t>
      </w:r>
      <w:r w:rsidR="00FA299D" w:rsidRPr="00C100E6">
        <w:rPr>
          <w:rFonts w:ascii="Arial" w:hAnsi="Arial" w:cs="Arial"/>
        </w:rPr>
        <w:t xml:space="preserve">Household </w:t>
      </w:r>
      <w:r w:rsidRPr="00C100E6">
        <w:rPr>
          <w:rFonts w:ascii="Arial" w:hAnsi="Arial" w:cs="Arial"/>
        </w:rPr>
        <w:t>Patterns of Work</w:t>
      </w:r>
      <w:r w:rsidR="00FA299D" w:rsidRPr="00C100E6">
        <w:rPr>
          <w:rFonts w:ascii="Arial" w:hAnsi="Arial" w:cs="Arial"/>
        </w:rPr>
        <w:t xml:space="preserve"> [</w:t>
      </w:r>
      <w:r w:rsidR="00FA299D" w:rsidRPr="00C100E6">
        <w:rPr>
          <w:rFonts w:ascii="Arial" w:hAnsi="Arial" w:cs="Arial"/>
          <w:i/>
        </w:rPr>
        <w:t>hyperlink</w:t>
      </w:r>
      <w:r w:rsidR="00FA299D" w:rsidRPr="00C100E6">
        <w:rPr>
          <w:rFonts w:ascii="Arial" w:hAnsi="Arial" w:cs="Arial"/>
        </w:rPr>
        <w:t>]</w:t>
      </w:r>
    </w:p>
    <w:p w14:paraId="30BF58EE" w14:textId="29E2CFB4" w:rsidR="00FA299D" w:rsidRPr="00C100E6" w:rsidRDefault="00065EE1" w:rsidP="00F0437C">
      <w:pPr>
        <w:ind w:left="-567"/>
        <w:jc w:val="both"/>
        <w:rPr>
          <w:rFonts w:ascii="Arial" w:hAnsi="Arial" w:cs="Arial"/>
        </w:rPr>
      </w:pPr>
      <w:r w:rsidRPr="00C100E6">
        <w:rPr>
          <w:rFonts w:ascii="Arial" w:hAnsi="Arial" w:cs="Arial"/>
          <w:lang w:val="en-US"/>
        </w:rPr>
        <w:t xml:space="preserve">Parental Working in Europe: </w:t>
      </w:r>
      <w:r w:rsidR="00FA299D" w:rsidRPr="00C100E6">
        <w:rPr>
          <w:rFonts w:ascii="Arial" w:hAnsi="Arial" w:cs="Arial"/>
        </w:rPr>
        <w:t>Working Hours [</w:t>
      </w:r>
      <w:r w:rsidR="00FA299D" w:rsidRPr="00C100E6">
        <w:rPr>
          <w:rFonts w:ascii="Arial" w:hAnsi="Arial" w:cs="Arial"/>
          <w:i/>
        </w:rPr>
        <w:t>hyperlink</w:t>
      </w:r>
      <w:r w:rsidR="00FA299D" w:rsidRPr="00C100E6">
        <w:rPr>
          <w:rFonts w:ascii="Arial" w:hAnsi="Arial" w:cs="Arial"/>
        </w:rPr>
        <w:t>]</w:t>
      </w:r>
    </w:p>
    <w:p w14:paraId="601A37F0" w14:textId="178F5FA4" w:rsidR="00FA299D" w:rsidRPr="00C100E6" w:rsidRDefault="00065EE1" w:rsidP="00F0437C">
      <w:pPr>
        <w:ind w:left="-567"/>
        <w:jc w:val="both"/>
        <w:rPr>
          <w:rFonts w:ascii="Arial" w:hAnsi="Arial" w:cs="Arial"/>
        </w:rPr>
      </w:pPr>
      <w:r w:rsidRPr="00C100E6">
        <w:rPr>
          <w:rFonts w:ascii="Arial" w:hAnsi="Arial" w:cs="Arial"/>
          <w:lang w:val="en-US"/>
        </w:rPr>
        <w:t xml:space="preserve">Parental Working in Europe: </w:t>
      </w:r>
      <w:r w:rsidR="00A20FDC" w:rsidRPr="00C100E6">
        <w:rPr>
          <w:rFonts w:ascii="Arial" w:hAnsi="Arial" w:cs="Arial"/>
        </w:rPr>
        <w:t>Non-standard</w:t>
      </w:r>
      <w:r w:rsidR="00FA299D" w:rsidRPr="00C100E6">
        <w:rPr>
          <w:rFonts w:ascii="Arial" w:hAnsi="Arial" w:cs="Arial"/>
        </w:rPr>
        <w:t xml:space="preserve"> working hours [</w:t>
      </w:r>
      <w:r w:rsidR="00FA299D" w:rsidRPr="00C100E6">
        <w:rPr>
          <w:rFonts w:ascii="Arial" w:hAnsi="Arial" w:cs="Arial"/>
          <w:i/>
        </w:rPr>
        <w:t>hyperlink</w:t>
      </w:r>
      <w:r w:rsidR="00FA299D" w:rsidRPr="00C100E6">
        <w:rPr>
          <w:rFonts w:ascii="Arial" w:hAnsi="Arial" w:cs="Arial"/>
        </w:rPr>
        <w:t>]</w:t>
      </w:r>
    </w:p>
    <w:p w14:paraId="1602578F" w14:textId="0CB0F19D" w:rsidR="00FA299D" w:rsidRPr="00C100E6" w:rsidRDefault="00065EE1" w:rsidP="00F0437C">
      <w:pPr>
        <w:ind w:left="-567"/>
        <w:jc w:val="both"/>
        <w:rPr>
          <w:rFonts w:ascii="Arial" w:hAnsi="Arial" w:cs="Arial"/>
        </w:rPr>
      </w:pPr>
      <w:r w:rsidRPr="00C100E6">
        <w:rPr>
          <w:rFonts w:ascii="Arial" w:hAnsi="Arial" w:cs="Arial"/>
          <w:lang w:val="en-US"/>
        </w:rPr>
        <w:t xml:space="preserve">Parental Working in Europe: </w:t>
      </w:r>
      <w:r w:rsidR="00FA299D" w:rsidRPr="00C100E6">
        <w:rPr>
          <w:rFonts w:ascii="Arial" w:hAnsi="Arial" w:cs="Arial"/>
        </w:rPr>
        <w:t>Underemployment [</w:t>
      </w:r>
      <w:r w:rsidR="00FA299D" w:rsidRPr="00C100E6">
        <w:rPr>
          <w:rFonts w:ascii="Arial" w:hAnsi="Arial" w:cs="Arial"/>
          <w:i/>
        </w:rPr>
        <w:t>hyperlink</w:t>
      </w:r>
      <w:r w:rsidR="00FA299D" w:rsidRPr="00C100E6">
        <w:rPr>
          <w:rFonts w:ascii="Arial" w:hAnsi="Arial" w:cs="Arial"/>
        </w:rPr>
        <w:t>]</w:t>
      </w:r>
    </w:p>
    <w:sectPr w:rsidR="00FA299D" w:rsidRPr="00C100E6" w:rsidSect="00AD2BF1">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4B2CD" w14:textId="77777777" w:rsidR="001D6D32" w:rsidRDefault="001D6D32" w:rsidP="00701C3D">
      <w:pPr>
        <w:spacing w:after="0" w:line="240" w:lineRule="auto"/>
      </w:pPr>
      <w:r>
        <w:separator/>
      </w:r>
    </w:p>
  </w:endnote>
  <w:endnote w:type="continuationSeparator" w:id="0">
    <w:p w14:paraId="32454F19" w14:textId="77777777" w:rsidR="001D6D32" w:rsidRDefault="001D6D32" w:rsidP="0070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82CF" w14:textId="77777777" w:rsidR="00AD2BF1" w:rsidRDefault="00AD2BF1" w:rsidP="00AD2BF1">
    <w:pPr>
      <w:pStyle w:val="Footer"/>
    </w:pPr>
    <w:r w:rsidRPr="006A13E7">
      <w:rPr>
        <w:rFonts w:ascii="Arial" w:hAnsi="Arial" w:cs="Arial"/>
        <w:i/>
        <w:color w:val="003366"/>
      </w:rPr>
      <w:t>ESRC grant</w:t>
    </w:r>
    <w:r>
      <w:rPr>
        <w:rFonts w:ascii="Arial" w:hAnsi="Arial" w:cs="Arial"/>
        <w:i/>
        <w:color w:val="003366"/>
      </w:rPr>
      <w:t xml:space="preserve"> number: </w:t>
    </w:r>
    <w:r w:rsidRPr="006A13E7">
      <w:rPr>
        <w:rFonts w:ascii="Arial" w:hAnsi="Arial" w:cs="Arial"/>
        <w:i/>
        <w:color w:val="003366"/>
      </w:rPr>
      <w:t xml:space="preserve"> </w:t>
    </w:r>
    <w:r>
      <w:rPr>
        <w:rFonts w:ascii="Arial" w:hAnsi="Arial" w:cs="Arial"/>
        <w:i/>
        <w:color w:val="003366"/>
      </w:rPr>
      <w:t>“</w:t>
    </w:r>
    <w:r w:rsidRPr="006A13E7">
      <w:rPr>
        <w:rFonts w:ascii="Arial" w:hAnsi="Arial" w:cs="Arial"/>
        <w:i/>
        <w:color w:val="003366"/>
      </w:rPr>
      <w:t>ES/K003739/1</w:t>
    </w:r>
    <w:r>
      <w:rPr>
        <w:rFonts w:ascii="Arial" w:hAnsi="Arial" w:cs="Arial"/>
        <w:i/>
        <w:color w:val="003366"/>
      </w:rPr>
      <w:t>”</w:t>
    </w:r>
  </w:p>
  <w:p w14:paraId="2A21ABDA" w14:textId="77777777" w:rsidR="00AD2BF1" w:rsidRDefault="00AD2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8296D" w14:textId="77777777" w:rsidR="001D6D32" w:rsidRDefault="001D6D32" w:rsidP="00701C3D">
      <w:pPr>
        <w:spacing w:after="0" w:line="240" w:lineRule="auto"/>
      </w:pPr>
      <w:r>
        <w:separator/>
      </w:r>
    </w:p>
  </w:footnote>
  <w:footnote w:type="continuationSeparator" w:id="0">
    <w:p w14:paraId="693D3DB6" w14:textId="77777777" w:rsidR="001D6D32" w:rsidRDefault="001D6D32" w:rsidP="00701C3D">
      <w:pPr>
        <w:spacing w:after="0" w:line="240" w:lineRule="auto"/>
      </w:pPr>
      <w:r>
        <w:continuationSeparator/>
      </w:r>
    </w:p>
  </w:footnote>
  <w:footnote w:id="1">
    <w:p w14:paraId="648BFEB8" w14:textId="77777777" w:rsidR="001D6D32" w:rsidRDefault="001D6D32" w:rsidP="00E00A86">
      <w:pPr>
        <w:pStyle w:val="FootnoteText"/>
      </w:pPr>
      <w:r>
        <w:rPr>
          <w:rStyle w:val="FootnoteReference"/>
        </w:rPr>
        <w:footnoteRef/>
      </w:r>
      <w:r>
        <w:t xml:space="preserve"> World Bank, GDP Growth (annual %), 2015, Link: </w:t>
      </w:r>
      <w:hyperlink r:id="rId1" w:history="1">
        <w:r w:rsidRPr="00A60EFA">
          <w:rPr>
            <w:rStyle w:val="Hyperlink"/>
          </w:rPr>
          <w:t>http://data.worldbank.org/indicator/NY.GDP.MKTP.KD.ZG</w:t>
        </w:r>
      </w:hyperlink>
      <w:r>
        <w:t xml:space="preserve"> , accessed 07/09/15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13D19" w14:textId="7CBC842B" w:rsidR="00670F1A" w:rsidRDefault="00A56482">
    <w:pPr>
      <w:pStyle w:val="Header"/>
    </w:pPr>
    <w:r>
      <w:rPr>
        <w:b/>
        <w:noProof/>
        <w:lang w:eastAsia="en-GB"/>
      </w:rPr>
      <w:drawing>
        <wp:anchor distT="0" distB="0" distL="114300" distR="114300" simplePos="0" relativeHeight="251659264" behindDoc="0" locked="0" layoutInCell="1" allowOverlap="1" wp14:anchorId="01CE3A48" wp14:editId="6305054A">
          <wp:simplePos x="0" y="0"/>
          <wp:positionH relativeFrom="column">
            <wp:posOffset>4785995</wp:posOffset>
          </wp:positionH>
          <wp:positionV relativeFrom="paragraph">
            <wp:posOffset>-133985</wp:posOffset>
          </wp:positionV>
          <wp:extent cx="914400" cy="365760"/>
          <wp:effectExtent l="0" t="0" r="0" b="0"/>
          <wp:wrapThrough wrapText="bothSides">
            <wp:wrapPolygon edited="0">
              <wp:start x="0" y="0"/>
              <wp:lineTo x="0" y="19500"/>
              <wp:lineTo x="21000" y="19500"/>
              <wp:lineTo x="21000" y="0"/>
              <wp:lineTo x="0" y="0"/>
            </wp:wrapPolygon>
          </wp:wrapThrough>
          <wp:docPr id="2" name="Picture 2" descr="ModernFatherhoo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rnFatherhoo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0288" behindDoc="0" locked="0" layoutInCell="1" allowOverlap="1" wp14:anchorId="62EA5527" wp14:editId="6B27701D">
          <wp:simplePos x="0" y="0"/>
          <wp:positionH relativeFrom="column">
            <wp:posOffset>4036695</wp:posOffset>
          </wp:positionH>
          <wp:positionV relativeFrom="paragraph">
            <wp:posOffset>-133985</wp:posOffset>
          </wp:positionV>
          <wp:extent cx="457200" cy="381635"/>
          <wp:effectExtent l="0" t="0" r="0" b="0"/>
          <wp:wrapThrough wrapText="bothSides">
            <wp:wrapPolygon edited="0">
              <wp:start x="0" y="0"/>
              <wp:lineTo x="0" y="20126"/>
              <wp:lineTo x="20400" y="20126"/>
              <wp:lineTo x="20400" y="0"/>
              <wp:lineTo x="0" y="0"/>
            </wp:wrapPolygon>
          </wp:wrapThrough>
          <wp:docPr id="3" name="Picture 3" descr="esr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r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1312" behindDoc="0" locked="0" layoutInCell="1" allowOverlap="1" wp14:anchorId="4D074524" wp14:editId="5DE667C2">
          <wp:simplePos x="0" y="0"/>
          <wp:positionH relativeFrom="column">
            <wp:posOffset>2919095</wp:posOffset>
          </wp:positionH>
          <wp:positionV relativeFrom="paragraph">
            <wp:posOffset>-95250</wp:posOffset>
          </wp:positionV>
          <wp:extent cx="800100" cy="304165"/>
          <wp:effectExtent l="0" t="0" r="12700" b="635"/>
          <wp:wrapThrough wrapText="bothSides">
            <wp:wrapPolygon edited="0">
              <wp:start x="2057" y="0"/>
              <wp:lineTo x="0" y="9019"/>
              <wp:lineTo x="0" y="19841"/>
              <wp:lineTo x="2743" y="19841"/>
              <wp:lineTo x="21257" y="16234"/>
              <wp:lineTo x="21257" y="1804"/>
              <wp:lineTo x="8229" y="0"/>
              <wp:lineTo x="2057" y="0"/>
            </wp:wrapPolygon>
          </wp:wrapThrough>
          <wp:docPr id="4" name="Picture 4" descr="SDAI_logo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AI_logo_small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304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0"/>
        <w:szCs w:val="30"/>
        <w:lang w:eastAsia="en-GB"/>
      </w:rPr>
      <w:drawing>
        <wp:anchor distT="0" distB="0" distL="114300" distR="114300" simplePos="0" relativeHeight="251663360" behindDoc="0" locked="0" layoutInCell="1" allowOverlap="1" wp14:anchorId="6F7F0BBE" wp14:editId="2659CBA6">
          <wp:simplePos x="0" y="0"/>
          <wp:positionH relativeFrom="column">
            <wp:posOffset>1016000</wp:posOffset>
          </wp:positionH>
          <wp:positionV relativeFrom="paragraph">
            <wp:posOffset>-19685</wp:posOffset>
          </wp:positionV>
          <wp:extent cx="800100" cy="254000"/>
          <wp:effectExtent l="0" t="0" r="12700" b="0"/>
          <wp:wrapThrough wrapText="bothSides">
            <wp:wrapPolygon edited="0">
              <wp:start x="0" y="0"/>
              <wp:lineTo x="0" y="19440"/>
              <wp:lineTo x="21257" y="19440"/>
              <wp:lineTo x="21257" y="0"/>
              <wp:lineTo x="0" y="0"/>
            </wp:wrapPolygon>
          </wp:wrapThrough>
          <wp:docPr id="6" name="Picture 3" descr="TCRULogo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RULogo20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4384" behindDoc="0" locked="0" layoutInCell="1" allowOverlap="1" wp14:anchorId="28E49E4F" wp14:editId="7C2B5B48">
          <wp:simplePos x="0" y="0"/>
          <wp:positionH relativeFrom="column">
            <wp:posOffset>-50800</wp:posOffset>
          </wp:positionH>
          <wp:positionV relativeFrom="paragraph">
            <wp:posOffset>-70485</wp:posOffset>
          </wp:positionV>
          <wp:extent cx="825500" cy="330200"/>
          <wp:effectExtent l="0" t="0" r="12700" b="0"/>
          <wp:wrapThrough wrapText="bothSides">
            <wp:wrapPolygon edited="0">
              <wp:start x="0" y="0"/>
              <wp:lineTo x="0" y="19938"/>
              <wp:lineTo x="21268" y="19938"/>
              <wp:lineTo x="21268" y="0"/>
              <wp:lineTo x="0" y="0"/>
            </wp:wrapPolygon>
          </wp:wrapThrough>
          <wp:docPr id="7" name="Picture 7" descr="Macintosh HD:Users:natcenmac:Desktop:LOGOs:NatCen_logo:NatCen_short:NatCen_Part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natcenmac:Desktop:LOGOs:NatCen_logo:NatCen_short:NatCen_Partne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0EB940C8" wp14:editId="30C3AA6C">
          <wp:simplePos x="0" y="0"/>
          <wp:positionH relativeFrom="column">
            <wp:posOffset>2089150</wp:posOffset>
          </wp:positionH>
          <wp:positionV relativeFrom="paragraph">
            <wp:posOffset>-79375</wp:posOffset>
          </wp:positionV>
          <wp:extent cx="588813" cy="354330"/>
          <wp:effectExtent l="0" t="0" r="0" b="1270"/>
          <wp:wrapNone/>
          <wp:docPr id="8" name="Picture 8" descr="Macintosh HD:Users:natcenmac:Desktop:Bits &amp; Bobs:Modern Fatherhood:UEA_NEW_BRAND_Magent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cenmac:Desktop:Bits &amp; Bobs:Modern Fatherhood:UEA_NEW_BRAND_Magenta.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813" cy="354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A9"/>
    <w:rsid w:val="000211DB"/>
    <w:rsid w:val="00065EE1"/>
    <w:rsid w:val="00080EAF"/>
    <w:rsid w:val="000820F2"/>
    <w:rsid w:val="00103286"/>
    <w:rsid w:val="00103B4A"/>
    <w:rsid w:val="00195567"/>
    <w:rsid w:val="00197545"/>
    <w:rsid w:val="001B73A9"/>
    <w:rsid w:val="001C32A8"/>
    <w:rsid w:val="001D6D32"/>
    <w:rsid w:val="001E35A2"/>
    <w:rsid w:val="00203C45"/>
    <w:rsid w:val="002141DA"/>
    <w:rsid w:val="00220EE4"/>
    <w:rsid w:val="00264677"/>
    <w:rsid w:val="003042F8"/>
    <w:rsid w:val="00306342"/>
    <w:rsid w:val="0032650B"/>
    <w:rsid w:val="003459B0"/>
    <w:rsid w:val="003612CA"/>
    <w:rsid w:val="003F00EE"/>
    <w:rsid w:val="00416B4D"/>
    <w:rsid w:val="00426C2F"/>
    <w:rsid w:val="00443C81"/>
    <w:rsid w:val="00463B80"/>
    <w:rsid w:val="004A03AC"/>
    <w:rsid w:val="004C78A1"/>
    <w:rsid w:val="004D6129"/>
    <w:rsid w:val="00547DF7"/>
    <w:rsid w:val="005624E1"/>
    <w:rsid w:val="00562C35"/>
    <w:rsid w:val="005C529B"/>
    <w:rsid w:val="006004D0"/>
    <w:rsid w:val="00622871"/>
    <w:rsid w:val="0062698C"/>
    <w:rsid w:val="00627684"/>
    <w:rsid w:val="006556F0"/>
    <w:rsid w:val="00670F1A"/>
    <w:rsid w:val="006B66C9"/>
    <w:rsid w:val="006B7D91"/>
    <w:rsid w:val="00701196"/>
    <w:rsid w:val="00701C3D"/>
    <w:rsid w:val="00755EF2"/>
    <w:rsid w:val="007D4652"/>
    <w:rsid w:val="007F4E50"/>
    <w:rsid w:val="008169DE"/>
    <w:rsid w:val="00820FCB"/>
    <w:rsid w:val="00861F36"/>
    <w:rsid w:val="00893F19"/>
    <w:rsid w:val="00956863"/>
    <w:rsid w:val="009631DB"/>
    <w:rsid w:val="009674CE"/>
    <w:rsid w:val="00984659"/>
    <w:rsid w:val="00992AB8"/>
    <w:rsid w:val="009B3EBA"/>
    <w:rsid w:val="00A20FDC"/>
    <w:rsid w:val="00A56482"/>
    <w:rsid w:val="00AD2BF1"/>
    <w:rsid w:val="00B23D7B"/>
    <w:rsid w:val="00C07E73"/>
    <w:rsid w:val="00C100E6"/>
    <w:rsid w:val="00D25EF6"/>
    <w:rsid w:val="00D306E6"/>
    <w:rsid w:val="00D44B16"/>
    <w:rsid w:val="00D64C0D"/>
    <w:rsid w:val="00D756D1"/>
    <w:rsid w:val="00D926A8"/>
    <w:rsid w:val="00DB6997"/>
    <w:rsid w:val="00DE6BDC"/>
    <w:rsid w:val="00E00A86"/>
    <w:rsid w:val="00E33DFD"/>
    <w:rsid w:val="00E51611"/>
    <w:rsid w:val="00E97EA9"/>
    <w:rsid w:val="00EB778E"/>
    <w:rsid w:val="00ED21D1"/>
    <w:rsid w:val="00F0437C"/>
    <w:rsid w:val="00F233C8"/>
    <w:rsid w:val="00F31FB2"/>
    <w:rsid w:val="00F36080"/>
    <w:rsid w:val="00F42F36"/>
    <w:rsid w:val="00FA07EC"/>
    <w:rsid w:val="00FA299D"/>
    <w:rsid w:val="00FC7E89"/>
    <w:rsid w:val="00FE3D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8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1C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C3D"/>
    <w:rPr>
      <w:sz w:val="20"/>
      <w:szCs w:val="20"/>
    </w:rPr>
  </w:style>
  <w:style w:type="character" w:styleId="FootnoteReference">
    <w:name w:val="footnote reference"/>
    <w:basedOn w:val="DefaultParagraphFont"/>
    <w:uiPriority w:val="99"/>
    <w:semiHidden/>
    <w:unhideWhenUsed/>
    <w:rsid w:val="00701C3D"/>
    <w:rPr>
      <w:vertAlign w:val="superscript"/>
    </w:rPr>
  </w:style>
  <w:style w:type="character" w:styleId="Hyperlink">
    <w:name w:val="Hyperlink"/>
    <w:basedOn w:val="DefaultParagraphFont"/>
    <w:uiPriority w:val="99"/>
    <w:unhideWhenUsed/>
    <w:rsid w:val="007F4E50"/>
    <w:rPr>
      <w:color w:val="0563C1" w:themeColor="hyperlink"/>
      <w:u w:val="single"/>
    </w:rPr>
  </w:style>
  <w:style w:type="paragraph" w:styleId="BalloonText">
    <w:name w:val="Balloon Text"/>
    <w:basedOn w:val="Normal"/>
    <w:link w:val="BalloonTextChar"/>
    <w:uiPriority w:val="99"/>
    <w:semiHidden/>
    <w:unhideWhenUsed/>
    <w:rsid w:val="00345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9B0"/>
    <w:rPr>
      <w:rFonts w:ascii="Segoe UI" w:hAnsi="Segoe UI" w:cs="Segoe UI"/>
      <w:sz w:val="18"/>
      <w:szCs w:val="18"/>
    </w:rPr>
  </w:style>
  <w:style w:type="character" w:styleId="CommentReference">
    <w:name w:val="annotation reference"/>
    <w:basedOn w:val="DefaultParagraphFont"/>
    <w:uiPriority w:val="99"/>
    <w:semiHidden/>
    <w:unhideWhenUsed/>
    <w:rsid w:val="00627684"/>
    <w:rPr>
      <w:sz w:val="18"/>
      <w:szCs w:val="18"/>
    </w:rPr>
  </w:style>
  <w:style w:type="paragraph" w:styleId="CommentText">
    <w:name w:val="annotation text"/>
    <w:basedOn w:val="Normal"/>
    <w:link w:val="CommentTextChar"/>
    <w:uiPriority w:val="99"/>
    <w:semiHidden/>
    <w:unhideWhenUsed/>
    <w:rsid w:val="00627684"/>
    <w:pPr>
      <w:spacing w:line="240" w:lineRule="auto"/>
    </w:pPr>
    <w:rPr>
      <w:sz w:val="24"/>
      <w:szCs w:val="24"/>
    </w:rPr>
  </w:style>
  <w:style w:type="character" w:customStyle="1" w:styleId="CommentTextChar">
    <w:name w:val="Comment Text Char"/>
    <w:basedOn w:val="DefaultParagraphFont"/>
    <w:link w:val="CommentText"/>
    <w:uiPriority w:val="99"/>
    <w:semiHidden/>
    <w:rsid w:val="00627684"/>
    <w:rPr>
      <w:sz w:val="24"/>
      <w:szCs w:val="24"/>
    </w:rPr>
  </w:style>
  <w:style w:type="paragraph" w:styleId="CommentSubject">
    <w:name w:val="annotation subject"/>
    <w:basedOn w:val="CommentText"/>
    <w:next w:val="CommentText"/>
    <w:link w:val="CommentSubjectChar"/>
    <w:uiPriority w:val="99"/>
    <w:semiHidden/>
    <w:unhideWhenUsed/>
    <w:rsid w:val="00627684"/>
    <w:rPr>
      <w:b/>
      <w:bCs/>
      <w:sz w:val="20"/>
      <w:szCs w:val="20"/>
    </w:rPr>
  </w:style>
  <w:style w:type="character" w:customStyle="1" w:styleId="CommentSubjectChar">
    <w:name w:val="Comment Subject Char"/>
    <w:basedOn w:val="CommentTextChar"/>
    <w:link w:val="CommentSubject"/>
    <w:uiPriority w:val="99"/>
    <w:semiHidden/>
    <w:rsid w:val="00627684"/>
    <w:rPr>
      <w:b/>
      <w:bCs/>
      <w:sz w:val="20"/>
      <w:szCs w:val="20"/>
    </w:rPr>
  </w:style>
  <w:style w:type="table" w:customStyle="1" w:styleId="PlainTable11">
    <w:name w:val="Plain Table 11"/>
    <w:basedOn w:val="TableNormal"/>
    <w:uiPriority w:val="99"/>
    <w:rsid w:val="003042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3042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AD2B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2BF1"/>
  </w:style>
  <w:style w:type="paragraph" w:styleId="Footer">
    <w:name w:val="footer"/>
    <w:basedOn w:val="Normal"/>
    <w:link w:val="FooterChar"/>
    <w:uiPriority w:val="99"/>
    <w:unhideWhenUsed/>
    <w:rsid w:val="00AD2B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2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1C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C3D"/>
    <w:rPr>
      <w:sz w:val="20"/>
      <w:szCs w:val="20"/>
    </w:rPr>
  </w:style>
  <w:style w:type="character" w:styleId="FootnoteReference">
    <w:name w:val="footnote reference"/>
    <w:basedOn w:val="DefaultParagraphFont"/>
    <w:uiPriority w:val="99"/>
    <w:semiHidden/>
    <w:unhideWhenUsed/>
    <w:rsid w:val="00701C3D"/>
    <w:rPr>
      <w:vertAlign w:val="superscript"/>
    </w:rPr>
  </w:style>
  <w:style w:type="character" w:styleId="Hyperlink">
    <w:name w:val="Hyperlink"/>
    <w:basedOn w:val="DefaultParagraphFont"/>
    <w:uiPriority w:val="99"/>
    <w:unhideWhenUsed/>
    <w:rsid w:val="007F4E50"/>
    <w:rPr>
      <w:color w:val="0563C1" w:themeColor="hyperlink"/>
      <w:u w:val="single"/>
    </w:rPr>
  </w:style>
  <w:style w:type="paragraph" w:styleId="BalloonText">
    <w:name w:val="Balloon Text"/>
    <w:basedOn w:val="Normal"/>
    <w:link w:val="BalloonTextChar"/>
    <w:uiPriority w:val="99"/>
    <w:semiHidden/>
    <w:unhideWhenUsed/>
    <w:rsid w:val="00345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9B0"/>
    <w:rPr>
      <w:rFonts w:ascii="Segoe UI" w:hAnsi="Segoe UI" w:cs="Segoe UI"/>
      <w:sz w:val="18"/>
      <w:szCs w:val="18"/>
    </w:rPr>
  </w:style>
  <w:style w:type="character" w:styleId="CommentReference">
    <w:name w:val="annotation reference"/>
    <w:basedOn w:val="DefaultParagraphFont"/>
    <w:uiPriority w:val="99"/>
    <w:semiHidden/>
    <w:unhideWhenUsed/>
    <w:rsid w:val="00627684"/>
    <w:rPr>
      <w:sz w:val="18"/>
      <w:szCs w:val="18"/>
    </w:rPr>
  </w:style>
  <w:style w:type="paragraph" w:styleId="CommentText">
    <w:name w:val="annotation text"/>
    <w:basedOn w:val="Normal"/>
    <w:link w:val="CommentTextChar"/>
    <w:uiPriority w:val="99"/>
    <w:semiHidden/>
    <w:unhideWhenUsed/>
    <w:rsid w:val="00627684"/>
    <w:pPr>
      <w:spacing w:line="240" w:lineRule="auto"/>
    </w:pPr>
    <w:rPr>
      <w:sz w:val="24"/>
      <w:szCs w:val="24"/>
    </w:rPr>
  </w:style>
  <w:style w:type="character" w:customStyle="1" w:styleId="CommentTextChar">
    <w:name w:val="Comment Text Char"/>
    <w:basedOn w:val="DefaultParagraphFont"/>
    <w:link w:val="CommentText"/>
    <w:uiPriority w:val="99"/>
    <w:semiHidden/>
    <w:rsid w:val="00627684"/>
    <w:rPr>
      <w:sz w:val="24"/>
      <w:szCs w:val="24"/>
    </w:rPr>
  </w:style>
  <w:style w:type="paragraph" w:styleId="CommentSubject">
    <w:name w:val="annotation subject"/>
    <w:basedOn w:val="CommentText"/>
    <w:next w:val="CommentText"/>
    <w:link w:val="CommentSubjectChar"/>
    <w:uiPriority w:val="99"/>
    <w:semiHidden/>
    <w:unhideWhenUsed/>
    <w:rsid w:val="00627684"/>
    <w:rPr>
      <w:b/>
      <w:bCs/>
      <w:sz w:val="20"/>
      <w:szCs w:val="20"/>
    </w:rPr>
  </w:style>
  <w:style w:type="character" w:customStyle="1" w:styleId="CommentSubjectChar">
    <w:name w:val="Comment Subject Char"/>
    <w:basedOn w:val="CommentTextChar"/>
    <w:link w:val="CommentSubject"/>
    <w:uiPriority w:val="99"/>
    <w:semiHidden/>
    <w:rsid w:val="00627684"/>
    <w:rPr>
      <w:b/>
      <w:bCs/>
      <w:sz w:val="20"/>
      <w:szCs w:val="20"/>
    </w:rPr>
  </w:style>
  <w:style w:type="table" w:customStyle="1" w:styleId="PlainTable11">
    <w:name w:val="Plain Table 11"/>
    <w:basedOn w:val="TableNormal"/>
    <w:uiPriority w:val="99"/>
    <w:rsid w:val="003042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3042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AD2B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2BF1"/>
  </w:style>
  <w:style w:type="paragraph" w:styleId="Footer">
    <w:name w:val="footer"/>
    <w:basedOn w:val="Normal"/>
    <w:link w:val="FooterChar"/>
    <w:uiPriority w:val="99"/>
    <w:unhideWhenUsed/>
    <w:rsid w:val="00AD2B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2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8417">
      <w:bodyDiv w:val="1"/>
      <w:marLeft w:val="0"/>
      <w:marRight w:val="0"/>
      <w:marTop w:val="0"/>
      <w:marBottom w:val="0"/>
      <w:divBdr>
        <w:top w:val="none" w:sz="0" w:space="0" w:color="auto"/>
        <w:left w:val="none" w:sz="0" w:space="0" w:color="auto"/>
        <w:bottom w:val="none" w:sz="0" w:space="0" w:color="auto"/>
        <w:right w:val="none" w:sz="0" w:space="0" w:color="auto"/>
      </w:divBdr>
    </w:div>
    <w:div w:id="978149806">
      <w:bodyDiv w:val="1"/>
      <w:marLeft w:val="0"/>
      <w:marRight w:val="0"/>
      <w:marTop w:val="0"/>
      <w:marBottom w:val="0"/>
      <w:divBdr>
        <w:top w:val="none" w:sz="0" w:space="0" w:color="auto"/>
        <w:left w:val="none" w:sz="0" w:space="0" w:color="auto"/>
        <w:bottom w:val="none" w:sz="0" w:space="0" w:color="auto"/>
        <w:right w:val="none" w:sz="0" w:space="0" w:color="auto"/>
      </w:divBdr>
    </w:div>
    <w:div w:id="1356417293">
      <w:bodyDiv w:val="1"/>
      <w:marLeft w:val="0"/>
      <w:marRight w:val="0"/>
      <w:marTop w:val="0"/>
      <w:marBottom w:val="0"/>
      <w:divBdr>
        <w:top w:val="none" w:sz="0" w:space="0" w:color="auto"/>
        <w:left w:val="none" w:sz="0" w:space="0" w:color="auto"/>
        <w:bottom w:val="none" w:sz="0" w:space="0" w:color="auto"/>
        <w:right w:val="none" w:sz="0" w:space="0" w:color="auto"/>
      </w:divBdr>
    </w:div>
    <w:div w:id="1746605104">
      <w:bodyDiv w:val="1"/>
      <w:marLeft w:val="0"/>
      <w:marRight w:val="0"/>
      <w:marTop w:val="0"/>
      <w:marBottom w:val="0"/>
      <w:divBdr>
        <w:top w:val="none" w:sz="0" w:space="0" w:color="auto"/>
        <w:left w:val="none" w:sz="0" w:space="0" w:color="auto"/>
        <w:bottom w:val="none" w:sz="0" w:space="0" w:color="auto"/>
        <w:right w:val="none" w:sz="0" w:space="0" w:color="auto"/>
      </w:divBdr>
    </w:div>
    <w:div w:id="2016953300">
      <w:bodyDiv w:val="1"/>
      <w:marLeft w:val="0"/>
      <w:marRight w:val="0"/>
      <w:marTop w:val="0"/>
      <w:marBottom w:val="0"/>
      <w:divBdr>
        <w:top w:val="none" w:sz="0" w:space="0" w:color="auto"/>
        <w:left w:val="none" w:sz="0" w:space="0" w:color="auto"/>
        <w:bottom w:val="none" w:sz="0" w:space="0" w:color="auto"/>
        <w:right w:val="none" w:sz="0" w:space="0" w:color="auto"/>
      </w:divBdr>
    </w:div>
    <w:div w:id="20341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ata.worldbank.org/indicator/NY.GDP.MKTP.KD.Z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E221A-E21B-49FB-9CD5-71012C0A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6CCD422C</Template>
  <TotalTime>0</TotalTime>
  <Pages>4</Pages>
  <Words>1008</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NatCen Social Research</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Wishart</dc:creator>
  <cp:lastModifiedBy>Anne Summers</cp:lastModifiedBy>
  <cp:revision>2</cp:revision>
  <cp:lastPrinted>2016-01-22T13:38:00Z</cp:lastPrinted>
  <dcterms:created xsi:type="dcterms:W3CDTF">2016-03-23T10:27:00Z</dcterms:created>
  <dcterms:modified xsi:type="dcterms:W3CDTF">2016-03-23T10:27:00Z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47773689</vt:i4>
  </property>
  <property fmtid="{D5CDD505-2E9C-101B-9397-08002B2CF9AE}" pid="4" name="_EmailSubject">
    <vt:lpwstr>Research notes</vt:lpwstr>
  </property>
  <property fmtid="{D5CDD505-2E9C-101B-9397-08002B2CF9AE}" pid="5" name="_AuthorEmail">
    <vt:lpwstr>Matthew.Aldrich@uea.ac.uk</vt:lpwstr>
  </property>
  <property fmtid="{D5CDD505-2E9C-101B-9397-08002B2CF9AE}" pid="6" name="_AuthorEmailDisplayName">
    <vt:lpwstr>Matthew Aldrich (ECO)</vt:lpwstr>
  </property>
  <property fmtid="{D5CDD505-2E9C-101B-9397-08002B2CF9AE}" pid="7" name="_ReviewingToolsShownOnce">
    <vt:lpwstr/>
  </property>
</Properties>
</file>